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word/comments.xml" ContentType="application/vnd.openxmlformats-officedocument.wordprocessingml.comment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009" w:rsidRPr="00024336" w:rsidRDefault="003C3009" w:rsidP="00030CA6">
      <w:pPr>
        <w:pStyle w:val="MDPI11articletype"/>
      </w:pPr>
      <w:r w:rsidRPr="00024336">
        <w:t>Article</w:t>
      </w:r>
    </w:p>
    <w:p w:rsidR="003C3009" w:rsidRPr="00024336" w:rsidRDefault="003C3009" w:rsidP="00030CA6">
      <w:pPr>
        <w:pStyle w:val="MDPI12title"/>
        <w:rPr>
          <w:lang w:val="en-GB"/>
        </w:rPr>
      </w:pPr>
      <w:r w:rsidRPr="00024336">
        <w:t>A</w:t>
      </w:r>
      <w:r w:rsidRPr="00024336">
        <w:rPr>
          <w:lang w:val="en-GB"/>
        </w:rPr>
        <w:t xml:space="preserve">dherence to </w:t>
      </w:r>
      <w:r w:rsidR="000E65DC" w:rsidRPr="00024336">
        <w:rPr>
          <w:lang w:val="en-GB"/>
        </w:rPr>
        <w:t>Gluten</w:t>
      </w:r>
      <w:r w:rsidR="006F0F1A" w:rsidRPr="00024336">
        <w:rPr>
          <w:lang w:val="en-GB"/>
        </w:rPr>
        <w:t>-</w:t>
      </w:r>
      <w:r w:rsidR="000E65DC" w:rsidRPr="00024336">
        <w:rPr>
          <w:lang w:val="en-GB"/>
        </w:rPr>
        <w:t xml:space="preserve">Free Diet </w:t>
      </w:r>
      <w:r w:rsidRPr="00024336">
        <w:rPr>
          <w:lang w:val="en-GB"/>
        </w:rPr>
        <w:t xml:space="preserve">in </w:t>
      </w:r>
      <w:r w:rsidR="000E65DC" w:rsidRPr="00024336">
        <w:rPr>
          <w:lang w:val="en-GB"/>
        </w:rPr>
        <w:t>Coeliac Paediatric Patient</w:t>
      </w:r>
      <w:r w:rsidR="00E27C26" w:rsidRPr="00024336">
        <w:rPr>
          <w:lang w:val="en-GB"/>
        </w:rPr>
        <w:t>s</w:t>
      </w:r>
      <w:r w:rsidR="000E65DC" w:rsidRPr="00024336">
        <w:rPr>
          <w:lang w:val="en-GB"/>
        </w:rPr>
        <w:t xml:space="preserve"> Assessed </w:t>
      </w:r>
      <w:r w:rsidR="004749D2" w:rsidRPr="00024336">
        <w:rPr>
          <w:lang w:val="en-GB"/>
        </w:rPr>
        <w:t xml:space="preserve">through </w:t>
      </w:r>
      <w:r w:rsidRPr="00024336">
        <w:rPr>
          <w:lang w:val="en-GB"/>
        </w:rPr>
        <w:t xml:space="preserve">a </w:t>
      </w:r>
      <w:r w:rsidR="000E65DC" w:rsidRPr="00024336">
        <w:rPr>
          <w:lang w:val="en-GB"/>
        </w:rPr>
        <w:t xml:space="preserve">Questionnaire Positively Influences Growth </w:t>
      </w:r>
      <w:r w:rsidRPr="00024336">
        <w:rPr>
          <w:lang w:val="en-GB"/>
        </w:rPr>
        <w:t xml:space="preserve">and </w:t>
      </w:r>
      <w:r w:rsidR="000E65DC" w:rsidRPr="00024336">
        <w:rPr>
          <w:lang w:val="en-GB"/>
        </w:rPr>
        <w:t xml:space="preserve">Quality </w:t>
      </w:r>
      <w:r w:rsidRPr="00024336">
        <w:rPr>
          <w:lang w:val="en-GB"/>
        </w:rPr>
        <w:t xml:space="preserve">of </w:t>
      </w:r>
      <w:r w:rsidR="000E65DC" w:rsidRPr="00024336">
        <w:rPr>
          <w:lang w:val="en-GB"/>
        </w:rPr>
        <w:t>Life</w:t>
      </w:r>
    </w:p>
    <w:p w:rsidR="003C3009" w:rsidRPr="00024336" w:rsidRDefault="003C3009" w:rsidP="00030CA6">
      <w:pPr>
        <w:pStyle w:val="MDPI13authornames"/>
        <w:rPr>
          <w:lang w:val="it-IT"/>
        </w:rPr>
      </w:pPr>
      <w:r w:rsidRPr="00024336">
        <w:rPr>
          <w:lang w:val="it-IT"/>
        </w:rPr>
        <w:t>Deianira Pedoto</w:t>
      </w:r>
      <w:r w:rsidRPr="00024336">
        <w:rPr>
          <w:vertAlign w:val="superscript"/>
          <w:lang w:val="it-IT"/>
        </w:rPr>
        <w:t>1</w:t>
      </w:r>
      <w:r w:rsidR="00030CA6" w:rsidRPr="00024336">
        <w:rPr>
          <w:vertAlign w:val="superscript"/>
          <w:lang w:val="it-IT"/>
        </w:rPr>
        <w:t>,</w:t>
      </w:r>
      <w:r w:rsidRPr="00024336">
        <w:rPr>
          <w:lang w:val="it-IT"/>
        </w:rPr>
        <w:t>*, Riccardo Troncone</w:t>
      </w:r>
      <w:r w:rsidRPr="00024336">
        <w:rPr>
          <w:vertAlign w:val="superscript"/>
          <w:lang w:val="it-IT"/>
        </w:rPr>
        <w:t>1,2</w:t>
      </w:r>
      <w:r w:rsidRPr="00024336">
        <w:rPr>
          <w:lang w:val="it-IT"/>
        </w:rPr>
        <w:t>, Margherita Massitti</w:t>
      </w:r>
      <w:r w:rsidRPr="00024336">
        <w:rPr>
          <w:vertAlign w:val="superscript"/>
          <w:lang w:val="it-IT"/>
        </w:rPr>
        <w:t>1</w:t>
      </w:r>
      <w:r w:rsidRPr="00024336">
        <w:rPr>
          <w:lang w:val="it-IT"/>
        </w:rPr>
        <w:t>, Luigi Greco</w:t>
      </w:r>
      <w:r w:rsidRPr="00024336">
        <w:rPr>
          <w:vertAlign w:val="superscript"/>
          <w:lang w:val="it-IT"/>
        </w:rPr>
        <w:t>1,2</w:t>
      </w:r>
      <w:r w:rsidRPr="00024336">
        <w:rPr>
          <w:lang w:val="it-IT"/>
        </w:rPr>
        <w:t xml:space="preserve"> and </w:t>
      </w:r>
      <w:r w:rsidR="00030CA6" w:rsidRPr="00024336">
        <w:rPr>
          <w:lang w:val="it-IT"/>
        </w:rPr>
        <w:br/>
      </w:r>
      <w:r w:rsidRPr="00024336">
        <w:rPr>
          <w:lang w:val="it-IT"/>
        </w:rPr>
        <w:t>Renata Auricchio</w:t>
      </w:r>
      <w:r w:rsidRPr="00024336">
        <w:rPr>
          <w:vertAlign w:val="superscript"/>
          <w:lang w:val="it-IT"/>
        </w:rPr>
        <w:t>1,2</w:t>
      </w:r>
    </w:p>
    <w:p w:rsidR="003C3009" w:rsidRPr="00024336" w:rsidRDefault="003C3009" w:rsidP="00030CA6">
      <w:pPr>
        <w:pStyle w:val="MDPI16affiliation"/>
        <w:rPr>
          <w:bCs/>
          <w:iCs/>
          <w:lang w:val="en-GB"/>
        </w:rPr>
      </w:pPr>
      <w:r w:rsidRPr="00024336">
        <w:rPr>
          <w:vertAlign w:val="superscript"/>
          <w:lang w:val="en-GB"/>
        </w:rPr>
        <w:t>1</w:t>
      </w:r>
      <w:r w:rsidR="00030CA6" w:rsidRPr="00024336">
        <w:rPr>
          <w:lang w:val="en-GB"/>
        </w:rPr>
        <w:tab/>
      </w:r>
      <w:r w:rsidRPr="00024336">
        <w:rPr>
          <w:lang w:val="en-GB"/>
        </w:rPr>
        <w:t>Department of Medical Translational Sciences, University Federico II, 80131Naples, Italy;</w:t>
      </w:r>
      <w:r w:rsidRPr="00024336">
        <w:rPr>
          <w:bCs/>
          <w:iCs/>
          <w:lang w:val="en-GB"/>
        </w:rPr>
        <w:t xml:space="preserve">troncone@unina.it (R.T.); </w:t>
      </w:r>
      <w:hyperlink r:id="rId7" w:history="1">
        <w:r w:rsidR="007A3667" w:rsidRPr="00024336">
          <w:rPr>
            <w:rStyle w:val="Collegamentoipertestuale"/>
            <w:bCs/>
            <w:iCs/>
            <w:lang w:val="en-GB"/>
          </w:rPr>
          <w:t>marghym@gmail.com</w:t>
        </w:r>
      </w:hyperlink>
      <w:r w:rsidR="00F312DB" w:rsidRPr="00024336">
        <w:rPr>
          <w:bCs/>
          <w:iCs/>
          <w:lang w:val="en-GB"/>
        </w:rPr>
        <w:t xml:space="preserve">(M.M.); </w:t>
      </w:r>
      <w:r w:rsidRPr="00024336">
        <w:rPr>
          <w:bCs/>
          <w:iCs/>
          <w:lang w:val="en-GB"/>
        </w:rPr>
        <w:t xml:space="preserve">ydongre@unina.it (L.G.); </w:t>
      </w:r>
      <w:r w:rsidR="00F312DB" w:rsidRPr="00024336">
        <w:rPr>
          <w:bCs/>
          <w:iCs/>
          <w:lang w:val="en-GB"/>
        </w:rPr>
        <w:br/>
      </w:r>
      <w:r w:rsidRPr="00024336">
        <w:rPr>
          <w:bCs/>
          <w:iCs/>
          <w:lang w:val="en-GB"/>
        </w:rPr>
        <w:t>r.auricchio@unina.it</w:t>
      </w:r>
      <w:r w:rsidR="00F312DB" w:rsidRPr="00024336">
        <w:rPr>
          <w:bCs/>
          <w:iCs/>
          <w:lang w:val="en-GB"/>
        </w:rPr>
        <w:t xml:space="preserve"> (R.A</w:t>
      </w:r>
      <w:r w:rsidR="001024F5" w:rsidRPr="00024336">
        <w:rPr>
          <w:bCs/>
          <w:iCs/>
          <w:lang w:val="en-GB"/>
        </w:rPr>
        <w:t>.</w:t>
      </w:r>
      <w:r w:rsidR="00F312DB" w:rsidRPr="00024336">
        <w:rPr>
          <w:bCs/>
          <w:iCs/>
          <w:lang w:val="en-GB"/>
        </w:rPr>
        <w:t>)</w:t>
      </w:r>
    </w:p>
    <w:p w:rsidR="003C3009" w:rsidRPr="00024336" w:rsidRDefault="003C3009" w:rsidP="00030CA6">
      <w:pPr>
        <w:pStyle w:val="MDPI16affiliation"/>
        <w:rPr>
          <w:lang w:val="en-GB"/>
        </w:rPr>
      </w:pPr>
      <w:r w:rsidRPr="00024336">
        <w:rPr>
          <w:vertAlign w:val="superscript"/>
          <w:lang w:val="en-GB"/>
        </w:rPr>
        <w:t>2</w:t>
      </w:r>
      <w:r w:rsidR="00030CA6" w:rsidRPr="00024336">
        <w:rPr>
          <w:lang w:val="en-GB"/>
        </w:rPr>
        <w:tab/>
      </w:r>
      <w:r w:rsidRPr="00024336">
        <w:rPr>
          <w:lang w:val="en-GB"/>
        </w:rPr>
        <w:t>European Laboratory for the Investigation of Food-Induced Diseases</w:t>
      </w:r>
      <w:r w:rsidR="003C61B2" w:rsidRPr="00024336">
        <w:rPr>
          <w:lang w:val="en-GB"/>
        </w:rPr>
        <w:t>, University Federico II, 80131 Naples, Italy</w:t>
      </w:r>
    </w:p>
    <w:p w:rsidR="003C3009" w:rsidRPr="00024336" w:rsidRDefault="003C3009" w:rsidP="00030CA6">
      <w:pPr>
        <w:pStyle w:val="MDPI16affiliation"/>
      </w:pPr>
      <w:r w:rsidRPr="00024336">
        <w:rPr>
          <w:b/>
        </w:rPr>
        <w:t>*</w:t>
      </w:r>
      <w:r w:rsidR="00030CA6" w:rsidRPr="00024336">
        <w:rPr>
          <w:b/>
        </w:rPr>
        <w:tab/>
      </w:r>
      <w:r w:rsidRPr="00024336">
        <w:t>Correspondence: pedotod@gmail.com; Tel: +39</w:t>
      </w:r>
      <w:r w:rsidR="003C61B2" w:rsidRPr="00024336">
        <w:t>-</w:t>
      </w:r>
      <w:r w:rsidRPr="00024336">
        <w:t>3386</w:t>
      </w:r>
      <w:r w:rsidR="003C61B2" w:rsidRPr="00024336">
        <w:t>-</w:t>
      </w:r>
      <w:r w:rsidRPr="00024336">
        <w:t>0987</w:t>
      </w:r>
      <w:r w:rsidR="003C61B2" w:rsidRPr="00024336">
        <w:t>-</w:t>
      </w:r>
      <w:r w:rsidRPr="00024336">
        <w:t>49</w:t>
      </w:r>
    </w:p>
    <w:p w:rsidR="00030CA6" w:rsidRPr="00024336" w:rsidRDefault="00030CA6" w:rsidP="00030CA6">
      <w:pPr>
        <w:pStyle w:val="MDPI14history"/>
      </w:pPr>
      <w:r w:rsidRPr="00024336">
        <w:t xml:space="preserve">Received: </w:t>
      </w:r>
      <w:r w:rsidR="005F5507" w:rsidRPr="00024336">
        <w:t>18 October 2020</w:t>
      </w:r>
      <w:r w:rsidRPr="00024336">
        <w:t xml:space="preserve">; Accepted: </w:t>
      </w:r>
      <w:r w:rsidR="009C1290" w:rsidRPr="00024336">
        <w:t>8 December 2020</w:t>
      </w:r>
      <w:r w:rsidRPr="00024336">
        <w:t>; Published: date</w:t>
      </w:r>
    </w:p>
    <w:p w:rsidR="003C3009" w:rsidRPr="00024336" w:rsidRDefault="003C3009" w:rsidP="00316D44">
      <w:pPr>
        <w:pStyle w:val="MDPI17abstract"/>
        <w:rPr>
          <w:lang w:val="en-GB"/>
        </w:rPr>
      </w:pPr>
      <w:r w:rsidRPr="00024336">
        <w:rPr>
          <w:b/>
        </w:rPr>
        <w:t xml:space="preserve">Abstract: </w:t>
      </w:r>
      <w:r w:rsidRPr="00024336">
        <w:rPr>
          <w:lang w:val="en-GB"/>
        </w:rPr>
        <w:t>Assessment of adherence to gluten-free diet (GFD) represents the cornerstone in the management of coeliac disease. The primary aim of this study was to assess diet adherence through a questionnaire adapted to children. The secondary aim was to identify influencing factors and outcomes related to diet adherence. In this study, data about diagnosis, education, quality of life (QoL) and anti-transglutaminase (anti-TG2) titers of 160 coeliac children were collected. For the assessment of diet adherence, all participants completed the questionnaire modified from Leffler et al. (2009), while a random sample of 37 also underwent an extensive dietary interview. According to the questionnaire, diet adherence was excellent in 95 (59.4%), fair in 46 (28.8%) and low in 19 (11.9%) patients. Children diagnosed with biopsy showed better adherence than those with a biopsy-sparing approach (</w:t>
      </w:r>
      <w:r w:rsidR="00363308" w:rsidRPr="00024336">
        <w:rPr>
          <w:i/>
          <w:lang w:val="en-GB"/>
        </w:rPr>
        <w:t>p</w:t>
      </w:r>
      <w:r w:rsidR="00E27C26" w:rsidRPr="00024336">
        <w:rPr>
          <w:i/>
          <w:lang w:val="en-GB"/>
        </w:rPr>
        <w:t>=</w:t>
      </w:r>
      <w:r w:rsidRPr="00024336">
        <w:rPr>
          <w:lang w:val="en-GB"/>
        </w:rPr>
        <w:t xml:space="preserve"> 0.036). Adherence to GFD tended to worsen during the follow up, with the average length of follow up being associated with lower scores of diet adherence (</w:t>
      </w:r>
      <w:r w:rsidR="00363308" w:rsidRPr="00024336">
        <w:rPr>
          <w:i/>
          <w:lang w:val="en-GB"/>
        </w:rPr>
        <w:t>p</w:t>
      </w:r>
      <w:r w:rsidR="00E27C26" w:rsidRPr="00024336">
        <w:rPr>
          <w:i/>
          <w:lang w:val="en-GB"/>
        </w:rPr>
        <w:t>=</w:t>
      </w:r>
      <w:r w:rsidRPr="00024336">
        <w:rPr>
          <w:lang w:val="en-GB"/>
        </w:rPr>
        <w:t xml:space="preserve"> 0.009). Moreover, adherence to GFD decreased throughout school career, dropping from elementary until high school (</w:t>
      </w:r>
      <w:r w:rsidR="00363308" w:rsidRPr="00024336">
        <w:rPr>
          <w:i/>
          <w:lang w:val="en-GB"/>
        </w:rPr>
        <w:t>p</w:t>
      </w:r>
      <w:r w:rsidR="00E27C26" w:rsidRPr="00024336">
        <w:rPr>
          <w:i/>
          <w:lang w:val="en-GB"/>
        </w:rPr>
        <w:t>=</w:t>
      </w:r>
      <w:r w:rsidRPr="00024336">
        <w:rPr>
          <w:lang w:val="en-GB"/>
        </w:rPr>
        <w:t>0.037). A positive correlation was observed between adherence to GFD and growth percentiles, which increased when higher scores of adherence were achieved. Diet adherence positively correlated with QoL (</w:t>
      </w:r>
      <w:r w:rsidR="00363308" w:rsidRPr="00024336">
        <w:rPr>
          <w:i/>
          <w:lang w:val="en-GB"/>
        </w:rPr>
        <w:t>p</w:t>
      </w:r>
      <w:r w:rsidR="00E27C26" w:rsidRPr="00024336">
        <w:rPr>
          <w:i/>
          <w:lang w:val="en-GB"/>
        </w:rPr>
        <w:t>=</w:t>
      </w:r>
      <w:r w:rsidRPr="00024336">
        <w:rPr>
          <w:lang w:val="en-GB"/>
        </w:rPr>
        <w:t xml:space="preserve">0.001). In conclusion, the questionnaire displayed good sensitivity in detecting problems in diet adherence, being useful as a screening tool. Better comprehension of influencing factors and outcomes may allow the development of new strategies to improve diet adherence. </w:t>
      </w:r>
    </w:p>
    <w:p w:rsidR="003C3009" w:rsidRPr="00024336" w:rsidRDefault="00316D44" w:rsidP="00316D44">
      <w:pPr>
        <w:pStyle w:val="MDPI18keywords"/>
        <w:rPr>
          <w:snapToGrid/>
          <w:lang w:val="en-GB"/>
        </w:rPr>
      </w:pPr>
      <w:r w:rsidRPr="00024336">
        <w:rPr>
          <w:b/>
          <w:snapToGrid/>
          <w:lang w:val="en-GB"/>
        </w:rPr>
        <w:t>Keywords:</w:t>
      </w:r>
      <w:r w:rsidR="003C3009" w:rsidRPr="00024336">
        <w:rPr>
          <w:snapToGrid/>
          <w:lang w:val="en-GB"/>
        </w:rPr>
        <w:t>coeliac disease; compliance; gluten free diet; diet adherence</w:t>
      </w:r>
    </w:p>
    <w:p w:rsidR="003C3009" w:rsidRPr="00024336" w:rsidRDefault="003C3009" w:rsidP="00316D44">
      <w:pPr>
        <w:pStyle w:val="MDPI19line"/>
        <w:pBdr>
          <w:bottom w:val="single" w:sz="4" w:space="1" w:color="000000"/>
        </w:pBdr>
        <w:spacing w:after="480"/>
        <w:rPr>
          <w:color w:val="auto"/>
          <w:sz w:val="18"/>
          <w:szCs w:val="18"/>
        </w:rPr>
      </w:pPr>
    </w:p>
    <w:p w:rsidR="003C3009" w:rsidRPr="00024336" w:rsidRDefault="00024BED" w:rsidP="00024BED">
      <w:pPr>
        <w:pStyle w:val="MDPI21heading1"/>
      </w:pPr>
      <w:r w:rsidRPr="00024336">
        <w:rPr>
          <w:lang w:eastAsia="zh-CN"/>
        </w:rPr>
        <w:t xml:space="preserve">1. </w:t>
      </w:r>
      <w:r w:rsidR="003C3009" w:rsidRPr="00024336">
        <w:t>Introduction</w:t>
      </w:r>
    </w:p>
    <w:p w:rsidR="003C3009" w:rsidRPr="00024336" w:rsidRDefault="003C3009" w:rsidP="00024BED">
      <w:pPr>
        <w:pStyle w:val="MDPI31text"/>
        <w:rPr>
          <w:b/>
          <w:lang w:val="en-GB"/>
        </w:rPr>
      </w:pPr>
      <w:r w:rsidRPr="00024336">
        <w:rPr>
          <w:lang w:val="en-GB"/>
        </w:rPr>
        <w:t xml:space="preserve">Nowadays, gluten free diet (GFD) represents the only therapeutic strategy for patients with coeliac disease (CD). Good adherence to GFD leads to the regression of clinical symptoms and intestinal mucosal damage, influencing prognosis in terms of morbidity and quality of life (QoL) </w:t>
      </w:r>
      <w:r w:rsidR="00024336" w:rsidRPr="00024336">
        <w:rPr>
          <w:lang w:val="en-GB"/>
        </w:rPr>
        <w:t>[1]</w:t>
      </w:r>
      <w:r w:rsidRPr="00024336">
        <w:rPr>
          <w:lang w:val="en-GB"/>
        </w:rPr>
        <w:t xml:space="preserve">. Nevertheless, it requires a lifelong change in lifestyle, presenting a challenging task for CD patients. This problem is particularly relevant among children: it is estimated that up to one third of children fail to follow GFD </w:t>
      </w:r>
      <w:r w:rsidR="00024336" w:rsidRPr="00024336">
        <w:rPr>
          <w:lang w:val="en-GB"/>
        </w:rPr>
        <w:t>[2]</w:t>
      </w:r>
      <w:r w:rsidRPr="00024336">
        <w:rPr>
          <w:lang w:val="en-GB"/>
        </w:rPr>
        <w:t>, mainly adolescents, with significant consequences on growth and QoL</w:t>
      </w:r>
      <w:r w:rsidR="00024336" w:rsidRPr="00024336">
        <w:rPr>
          <w:lang w:val="en-GB"/>
        </w:rPr>
        <w:t>[1]</w:t>
      </w:r>
      <w:r w:rsidRPr="00024336">
        <w:rPr>
          <w:lang w:val="en-GB"/>
        </w:rPr>
        <w:t>.</w:t>
      </w:r>
    </w:p>
    <w:p w:rsidR="003C3009" w:rsidRPr="00024336" w:rsidRDefault="003C3009" w:rsidP="00024BED">
      <w:pPr>
        <w:pStyle w:val="MDPI31text"/>
        <w:rPr>
          <w:b/>
          <w:lang w:val="en-GB"/>
        </w:rPr>
      </w:pPr>
      <w:r w:rsidRPr="00024336">
        <w:rPr>
          <w:lang w:val="en-GB"/>
        </w:rPr>
        <w:t xml:space="preserve">Though the assessment of adherence to GFD represents the cornerstone in the management of coeliac patients, guidelines on this issue are notably lacking </w:t>
      </w:r>
      <w:r w:rsidR="00024336" w:rsidRPr="00024336">
        <w:rPr>
          <w:lang w:val="en-GB"/>
        </w:rPr>
        <w:t>[3,4]</w:t>
      </w:r>
      <w:r w:rsidRPr="00024336">
        <w:rPr>
          <w:lang w:val="en-GB"/>
        </w:rPr>
        <w:t>. In clinical practice, adherence to diet is mainly evaluated by measuring anti-tra</w:t>
      </w:r>
      <w:r w:rsidR="005F5507" w:rsidRPr="00024336">
        <w:rPr>
          <w:lang w:val="en-GB"/>
        </w:rPr>
        <w:t>nsglutaminase (anti-TG2) levels</w:t>
      </w:r>
      <w:r w:rsidR="00024336" w:rsidRPr="00024336">
        <w:rPr>
          <w:lang w:val="en-GB"/>
        </w:rPr>
        <w:t>[5]</w:t>
      </w:r>
      <w:r w:rsidRPr="00024336">
        <w:rPr>
          <w:lang w:val="en-GB"/>
        </w:rPr>
        <w:t xml:space="preserve">. However, this </w:t>
      </w:r>
      <w:r w:rsidRPr="00024336">
        <w:rPr>
          <w:lang w:val="en-GB"/>
        </w:rPr>
        <w:lastRenderedPageBreak/>
        <w:t>method is not sensitive enough to detect infrequent gluten exposures</w:t>
      </w:r>
      <w:r w:rsidR="00024336" w:rsidRPr="00024336">
        <w:rPr>
          <w:lang w:val="en-GB"/>
        </w:rPr>
        <w:t>[3,6,7]</w:t>
      </w:r>
      <w:r w:rsidRPr="00024336">
        <w:rPr>
          <w:lang w:val="en-GB"/>
        </w:rPr>
        <w:t xml:space="preserve">. On the other side, repeated duodenal biopsies to monitor mucosal recovery are not justified in children </w:t>
      </w:r>
      <w:r w:rsidR="00024336" w:rsidRPr="00024336">
        <w:rPr>
          <w:lang w:val="en-GB"/>
        </w:rPr>
        <w:t>[8]</w:t>
      </w:r>
      <w:r w:rsidRPr="00024336">
        <w:rPr>
          <w:lang w:val="en-GB"/>
        </w:rPr>
        <w:t xml:space="preserve">, since </w:t>
      </w:r>
      <w:r w:rsidR="004749D2" w:rsidRPr="00024336">
        <w:rPr>
          <w:lang w:val="en-GB"/>
        </w:rPr>
        <w:t xml:space="preserve">they </w:t>
      </w:r>
      <w:r w:rsidRPr="00024336">
        <w:rPr>
          <w:lang w:val="en-GB"/>
        </w:rPr>
        <w:t>involve unnecessary risks, representing a burden for patients and their families.</w:t>
      </w:r>
    </w:p>
    <w:p w:rsidR="003C3009" w:rsidRPr="00024336" w:rsidRDefault="003C3009" w:rsidP="003C3009">
      <w:pPr>
        <w:pStyle w:val="MDPI31text"/>
        <w:rPr>
          <w:b/>
          <w:color w:val="auto"/>
          <w:lang w:val="en-GB"/>
        </w:rPr>
      </w:pPr>
      <w:r w:rsidRPr="00024336">
        <w:rPr>
          <w:color w:val="auto"/>
          <w:lang w:val="en-GB"/>
        </w:rPr>
        <w:t>Despite the absence of a gold standard to assess diet adherence, a dietary evaluation by a trained dietitian is nowadays considered the method of choice</w:t>
      </w:r>
      <w:r w:rsidR="00024336" w:rsidRPr="00024336">
        <w:rPr>
          <w:color w:val="auto"/>
          <w:lang w:val="en-GB"/>
        </w:rPr>
        <w:t>[3,4,9]</w:t>
      </w:r>
      <w:r w:rsidRPr="00024336">
        <w:rPr>
          <w:color w:val="auto"/>
          <w:lang w:val="en-GB"/>
        </w:rPr>
        <w:t>. Nevertheless, this method is not standardized and is time consuming in the clinical setting. For this reason, short and score-based standardized questionnaires have been recently developed for the assessment of compliance in adult patients</w:t>
      </w:r>
      <w:r w:rsidR="00024336" w:rsidRPr="00024336">
        <w:rPr>
          <w:color w:val="auto"/>
          <w:lang w:val="en-GB"/>
        </w:rPr>
        <w:t>[10,11]</w:t>
      </w:r>
      <w:r w:rsidRPr="00024336">
        <w:rPr>
          <w:color w:val="auto"/>
          <w:lang w:val="en-GB"/>
        </w:rPr>
        <w:t>, while few questionnaires are currently available for children</w:t>
      </w:r>
      <w:r w:rsidR="00024336" w:rsidRPr="00024336">
        <w:rPr>
          <w:color w:val="auto"/>
          <w:lang w:val="en-GB"/>
        </w:rPr>
        <w:t>[12]</w:t>
      </w:r>
      <w:r w:rsidRPr="00024336">
        <w:rPr>
          <w:color w:val="auto"/>
          <w:lang w:val="en-GB"/>
        </w:rPr>
        <w:t>, and nearly all of them derive from those validated for adults.</w:t>
      </w:r>
    </w:p>
    <w:p w:rsidR="003C3009" w:rsidRPr="00024336" w:rsidRDefault="003C3009" w:rsidP="00024BED">
      <w:pPr>
        <w:pStyle w:val="MDPI31text"/>
        <w:rPr>
          <w:b/>
          <w:lang w:val="en-GB"/>
        </w:rPr>
      </w:pPr>
      <w:r w:rsidRPr="00024336">
        <w:rPr>
          <w:lang w:val="en-GB"/>
        </w:rPr>
        <w:t xml:space="preserve">The difficulty in the assessment of adherence to GFD is increased by the interaction with several influencing factors, which need to be considered during the clinical evaluation </w:t>
      </w:r>
      <w:r w:rsidR="00024336" w:rsidRPr="00024336">
        <w:rPr>
          <w:lang w:val="en-GB"/>
        </w:rPr>
        <w:t>[5]</w:t>
      </w:r>
      <w:r w:rsidRPr="00024336">
        <w:rPr>
          <w:lang w:val="en-GB"/>
        </w:rPr>
        <w:t>, especially in children. Influencing factors may be divided into extrinsic (sociocultural background including parents</w:t>
      </w:r>
      <w:r w:rsidR="004749D2" w:rsidRPr="00024336">
        <w:rPr>
          <w:lang w:val="en-GB"/>
        </w:rPr>
        <w:t>’</w:t>
      </w:r>
      <w:r w:rsidRPr="00024336">
        <w:rPr>
          <w:lang w:val="en-GB"/>
        </w:rPr>
        <w:t xml:space="preserve"> education and job), related to the patient (age, gender, education, comorbidity), and related to the disease (age of diagnosis, diagnostic approach, length of follow up). The main outcomes which should be considered for children with CD are growth, QoL and nutritional parameters.</w:t>
      </w:r>
    </w:p>
    <w:p w:rsidR="003C3009" w:rsidRPr="00024336" w:rsidRDefault="003C3009" w:rsidP="00024BED">
      <w:pPr>
        <w:pStyle w:val="MDPI31text"/>
        <w:rPr>
          <w:b/>
          <w:lang w:val="en-GB"/>
        </w:rPr>
      </w:pPr>
      <w:r w:rsidRPr="00024336">
        <w:rPr>
          <w:lang w:val="en-GB"/>
        </w:rPr>
        <w:t>The primary aim of this study was to assess adherence to GFD using a questionnaire specific for Italian paediatric patients and compare this method with serology and dietary interview. The secondary aim was to identify factors which may be associated with compliance and outcomes (growth and QoL).</w:t>
      </w:r>
    </w:p>
    <w:p w:rsidR="003C3009" w:rsidRPr="00024336" w:rsidRDefault="00024BED" w:rsidP="00024BED">
      <w:pPr>
        <w:pStyle w:val="MDPI21heading1"/>
      </w:pPr>
      <w:r w:rsidRPr="00024336">
        <w:rPr>
          <w:lang w:eastAsia="zh-CN"/>
        </w:rPr>
        <w:t xml:space="preserve">2. </w:t>
      </w:r>
      <w:r w:rsidR="003C3009" w:rsidRPr="00024336">
        <w:t>Materials and Methods</w:t>
      </w:r>
    </w:p>
    <w:p w:rsidR="003C3009" w:rsidRPr="00024336" w:rsidRDefault="00024BED" w:rsidP="00024BED">
      <w:pPr>
        <w:pStyle w:val="MDPI22heading2"/>
        <w:rPr>
          <w:lang w:val="en-GB"/>
        </w:rPr>
      </w:pPr>
      <w:r w:rsidRPr="00024336">
        <w:rPr>
          <w:lang w:val="en-GB"/>
        </w:rPr>
        <w:t xml:space="preserve">2.1. </w:t>
      </w:r>
      <w:r w:rsidR="003C3009" w:rsidRPr="00024336">
        <w:rPr>
          <w:lang w:val="en-GB"/>
        </w:rPr>
        <w:t xml:space="preserve">Patients and </w:t>
      </w:r>
      <w:r w:rsidRPr="00024336">
        <w:rPr>
          <w:lang w:val="en-GB"/>
        </w:rPr>
        <w:t>Visit</w:t>
      </w:r>
    </w:p>
    <w:p w:rsidR="003C3009" w:rsidRPr="00024336" w:rsidRDefault="003C3009" w:rsidP="00024BED">
      <w:pPr>
        <w:pStyle w:val="MDPI31text"/>
        <w:rPr>
          <w:lang w:val="en-GB"/>
        </w:rPr>
      </w:pPr>
      <w:r w:rsidRPr="00024336">
        <w:rPr>
          <w:lang w:val="en-GB"/>
        </w:rPr>
        <w:t xml:space="preserve">One hundred and sixty coeliac patients from </w:t>
      </w:r>
      <w:r w:rsidR="00022DB8" w:rsidRPr="00024336">
        <w:rPr>
          <w:lang w:val="en-GB"/>
        </w:rPr>
        <w:t>s</w:t>
      </w:r>
      <w:r w:rsidRPr="00024336">
        <w:rPr>
          <w:lang w:val="en-GB"/>
        </w:rPr>
        <w:t xml:space="preserve">outhern Italy, 101 females (63.1%), </w:t>
      </w:r>
      <w:r w:rsidR="00F06A27" w:rsidRPr="00024336">
        <w:rPr>
          <w:lang w:val="en-GB"/>
        </w:rPr>
        <w:t>2–20</w:t>
      </w:r>
      <w:r w:rsidRPr="00024336">
        <w:rPr>
          <w:lang w:val="en-GB"/>
        </w:rPr>
        <w:t xml:space="preserve"> years old, mean age 11.7</w:t>
      </w:r>
      <w:r w:rsidR="00024BED" w:rsidRPr="00024336">
        <w:rPr>
          <w:lang w:val="en-GB"/>
        </w:rPr>
        <w:t xml:space="preserve"> ± </w:t>
      </w:r>
      <w:r w:rsidRPr="00024336">
        <w:rPr>
          <w:lang w:val="en-GB"/>
        </w:rPr>
        <w:t>4.5, were consecutively admitted to this observational prospective study from May 2018 until June 2019. All subjects gave their informed consent for inclusion before they participated in the study. During the visit, data about socioeconomic background (parents’ grade of education and job) and patient (age, gender, education) were collected. Data about diagnosis such as age, diagnostic approach (biopsy or biopsy-sparing approach) and length of follow up were registered. Each patient underwent a complete anthropometric and physical examination. Parents gave their approval for participation in the study.</w:t>
      </w:r>
    </w:p>
    <w:p w:rsidR="003C3009" w:rsidRPr="00024336" w:rsidRDefault="00621180" w:rsidP="00621180">
      <w:pPr>
        <w:pStyle w:val="MDPI22heading2"/>
        <w:rPr>
          <w:lang w:val="en-GB"/>
        </w:rPr>
      </w:pPr>
      <w:r w:rsidRPr="00024336">
        <w:rPr>
          <w:lang w:val="en-GB"/>
        </w:rPr>
        <w:t xml:space="preserve">2.2. </w:t>
      </w:r>
      <w:r w:rsidR="003C3009" w:rsidRPr="00024336">
        <w:rPr>
          <w:lang w:val="en-GB"/>
        </w:rPr>
        <w:t xml:space="preserve">Assessment of </w:t>
      </w:r>
      <w:r w:rsidRPr="00024336">
        <w:rPr>
          <w:lang w:val="en-GB"/>
        </w:rPr>
        <w:t>Diet Adherence</w:t>
      </w:r>
    </w:p>
    <w:p w:rsidR="00192FE1" w:rsidRPr="00024336" w:rsidRDefault="003C3009" w:rsidP="00621180">
      <w:pPr>
        <w:pStyle w:val="MDPI31text"/>
        <w:rPr>
          <w:lang w:val="en-GB"/>
        </w:rPr>
      </w:pPr>
      <w:r w:rsidRPr="00024336">
        <w:rPr>
          <w:lang w:val="en-GB"/>
        </w:rPr>
        <w:t xml:space="preserve">Adherence to GFD was assessed through a questionnaire adapted from Leffler short questionnaire </w:t>
      </w:r>
      <w:r w:rsidR="00024336" w:rsidRPr="00024336">
        <w:rPr>
          <w:lang w:val="en-GB"/>
        </w:rPr>
        <w:t>[10]</w:t>
      </w:r>
      <w:r w:rsidRPr="00024336">
        <w:rPr>
          <w:lang w:val="en-GB"/>
        </w:rPr>
        <w:t xml:space="preserve"> and specifically modified for paediatric patients, which was administered by 2 independent clinicians to all the patients (</w:t>
      </w:r>
      <w:r w:rsidR="008E3F5C" w:rsidRPr="00024336">
        <w:rPr>
          <w:lang w:val="en-GB"/>
        </w:rPr>
        <w:t>Table 1</w:t>
      </w:r>
      <w:r w:rsidRPr="00024336">
        <w:rPr>
          <w:lang w:val="en-GB"/>
        </w:rPr>
        <w:t>). It consisted of 8 questions about perceived adherence to GFD, outdoor food consumption, GFD specific knowledge, self-efficacy and disease individual perception. Each answer was given a score (</w:t>
      </w:r>
      <w:r w:rsidR="00F06A27" w:rsidRPr="00024336">
        <w:rPr>
          <w:lang w:val="en-GB"/>
        </w:rPr>
        <w:t>0–3</w:t>
      </w:r>
      <w:r w:rsidRPr="00024336">
        <w:rPr>
          <w:lang w:val="en-GB"/>
        </w:rPr>
        <w:t xml:space="preserve">). According to the score achieved, patients were classified in 3 groups of compliance: score </w:t>
      </w:r>
      <w:r w:rsidR="00621180" w:rsidRPr="00024336">
        <w:rPr>
          <w:lang w:val="en-GB"/>
        </w:rPr>
        <w:t xml:space="preserve">≤ </w:t>
      </w:r>
      <w:r w:rsidR="00F06A27" w:rsidRPr="00024336">
        <w:rPr>
          <w:lang w:val="en-GB"/>
        </w:rPr>
        <w:t>2 = e</w:t>
      </w:r>
      <w:r w:rsidRPr="00024336">
        <w:rPr>
          <w:lang w:val="en-GB"/>
        </w:rPr>
        <w:t xml:space="preserve">xcellent compliance, score </w:t>
      </w:r>
      <w:r w:rsidR="00F06A27" w:rsidRPr="00024336">
        <w:rPr>
          <w:lang w:val="en-GB"/>
        </w:rPr>
        <w:t>3–6 = f</w:t>
      </w:r>
      <w:r w:rsidRPr="00024336">
        <w:rPr>
          <w:lang w:val="en-GB"/>
        </w:rPr>
        <w:t>air compliance and score ≥</w:t>
      </w:r>
      <w:r w:rsidR="00F06A27" w:rsidRPr="00024336">
        <w:rPr>
          <w:lang w:val="en-GB"/>
        </w:rPr>
        <w:t>7 = l</w:t>
      </w:r>
      <w:r w:rsidRPr="00024336">
        <w:rPr>
          <w:lang w:val="en-GB"/>
        </w:rPr>
        <w:t>ow compliance. Patients aging ≥ 12 years (</w:t>
      </w:r>
      <w:r w:rsidR="002D2FAB" w:rsidRPr="00024336">
        <w:rPr>
          <w:i/>
          <w:lang w:val="en-GB"/>
        </w:rPr>
        <w:t>n</w:t>
      </w:r>
      <w:r w:rsidR="00F06A27" w:rsidRPr="00024336">
        <w:rPr>
          <w:lang w:val="en-GB"/>
        </w:rPr>
        <w:t xml:space="preserve"> = 9</w:t>
      </w:r>
      <w:r w:rsidRPr="00024336">
        <w:rPr>
          <w:lang w:val="en-GB"/>
        </w:rPr>
        <w:t>3) were asked to autonomously complete the questionnaire, guardian collaboration was allowed if required. For patients aging &lt;12 years (</w:t>
      </w:r>
      <w:r w:rsidR="002D2FAB" w:rsidRPr="00024336">
        <w:rPr>
          <w:i/>
          <w:lang w:val="en-GB"/>
        </w:rPr>
        <w:t>n</w:t>
      </w:r>
      <w:r w:rsidR="00F06A27" w:rsidRPr="00024336">
        <w:rPr>
          <w:lang w:val="en-GB"/>
        </w:rPr>
        <w:t xml:space="preserve"> = 6</w:t>
      </w:r>
      <w:r w:rsidRPr="00024336">
        <w:rPr>
          <w:lang w:val="en-GB"/>
        </w:rPr>
        <w:t>7), guardians were asked to complete the questionnaire, while collaboration of the patient was always required. The results of the questionnaire were compared with anti-TG2 titers, performed by ELISA (Eurospital, Trieste, Italy) or by chemiluminescence (Delta) at time of follow-up assessment</w:t>
      </w:r>
      <w:r w:rsidR="00E27C26" w:rsidRPr="00024336">
        <w:rPr>
          <w:lang w:val="en-GB"/>
        </w:rPr>
        <w:t>,</w:t>
      </w:r>
      <w:r w:rsidRPr="00024336">
        <w:rPr>
          <w:lang w:val="en-GB"/>
        </w:rPr>
        <w:t xml:space="preserve"> and dietary interview, which was performed by an expert dietitian in a subset of 37 patients to evaluate the total amount of gluten ingestion through the alimentary diary of the previous 3 days.</w:t>
      </w:r>
    </w:p>
    <w:p w:rsidR="00192FE1" w:rsidRPr="00024336" w:rsidRDefault="00192FE1">
      <w:pPr>
        <w:spacing w:line="240" w:lineRule="auto"/>
        <w:jc w:val="left"/>
        <w:rPr>
          <w:rFonts w:ascii="Palatino Linotype" w:hAnsi="Palatino Linotype"/>
          <w:snapToGrid w:val="0"/>
          <w:sz w:val="20"/>
          <w:szCs w:val="22"/>
          <w:lang w:val="en-GB" w:bidi="en-US"/>
        </w:rPr>
      </w:pPr>
      <w:r w:rsidRPr="00024336">
        <w:rPr>
          <w:lang w:val="en-GB"/>
        </w:rPr>
        <w:br w:type="page"/>
      </w:r>
    </w:p>
    <w:p w:rsidR="003C3009" w:rsidRPr="00024336" w:rsidRDefault="00192FE1" w:rsidP="00192FE1">
      <w:pPr>
        <w:pStyle w:val="MDPI41tablecaption"/>
        <w:jc w:val="center"/>
        <w:rPr>
          <w:bCs/>
          <w:lang w:val="en-GB"/>
        </w:rPr>
      </w:pPr>
      <w:r w:rsidRPr="00024336">
        <w:rPr>
          <w:b/>
          <w:bCs/>
          <w:lang w:val="en-GB"/>
        </w:rPr>
        <w:lastRenderedPageBreak/>
        <w:t xml:space="preserve">Table 1. </w:t>
      </w:r>
      <w:r w:rsidR="003C3009" w:rsidRPr="00024336">
        <w:rPr>
          <w:lang w:val="en-GB"/>
        </w:rPr>
        <w:t xml:space="preserve">Questionnaire for the assessment of adherence to </w:t>
      </w:r>
      <w:r w:rsidR="004749D2" w:rsidRPr="00024336">
        <w:rPr>
          <w:lang w:val="en-GB"/>
        </w:rPr>
        <w:t>gluten-free diet (</w:t>
      </w:r>
      <w:r w:rsidR="003C3009" w:rsidRPr="00024336">
        <w:rPr>
          <w:lang w:val="en-GB"/>
        </w:rPr>
        <w:t>GFD</w:t>
      </w:r>
      <w:r w:rsidR="004749D2" w:rsidRPr="00024336">
        <w:rPr>
          <w:lang w:val="en-GB"/>
        </w:rPr>
        <w:t>)</w:t>
      </w:r>
      <w:r w:rsidR="003C3009" w:rsidRPr="00024336">
        <w:rPr>
          <w:lang w:val="en-GB"/>
        </w:rPr>
        <w:t xml:space="preserve"> in paediatric patients</w:t>
      </w:r>
      <w:r w:rsidR="003C3009" w:rsidRPr="00024336">
        <w:rPr>
          <w:b/>
          <w:lang w:val="en-GB"/>
        </w:rPr>
        <w:t>.</w:t>
      </w:r>
    </w:p>
    <w:tbl>
      <w:tblPr>
        <w:tblStyle w:val="MDPI41threelinetable"/>
        <w:tblW w:w="0" w:type="auto"/>
        <w:tblLook w:val="04A0"/>
      </w:tblPr>
      <w:tblGrid>
        <w:gridCol w:w="1689"/>
        <w:gridCol w:w="1665"/>
        <w:gridCol w:w="2027"/>
        <w:gridCol w:w="2049"/>
        <w:gridCol w:w="1630"/>
      </w:tblGrid>
      <w:tr w:rsidR="00EC56C7" w:rsidRPr="00024336" w:rsidTr="00E44F73">
        <w:trPr>
          <w:cnfStyle w:val="100000000000"/>
        </w:trPr>
        <w:tc>
          <w:tcPr>
            <w:tcW w:w="0" w:type="auto"/>
          </w:tcPr>
          <w:p w:rsidR="003C3009" w:rsidRPr="00024336" w:rsidRDefault="003C3009" w:rsidP="00192FE1">
            <w:pPr>
              <w:autoSpaceDE w:val="0"/>
              <w:autoSpaceDN w:val="0"/>
              <w:spacing w:line="240" w:lineRule="auto"/>
              <w:jc w:val="center"/>
              <w:rPr>
                <w:rFonts w:ascii="Palatino Linotype" w:hAnsi="Palatino Linotype"/>
                <w:b w:val="0"/>
                <w:color w:val="auto"/>
                <w:sz w:val="20"/>
                <w:szCs w:val="18"/>
                <w:lang w:val="en-GB"/>
              </w:rPr>
            </w:pPr>
          </w:p>
        </w:tc>
        <w:tc>
          <w:tcPr>
            <w:tcW w:w="0" w:type="auto"/>
          </w:tcPr>
          <w:p w:rsidR="003C3009" w:rsidRPr="00024336" w:rsidRDefault="003C3009" w:rsidP="00192FE1">
            <w:pPr>
              <w:autoSpaceDE w:val="0"/>
              <w:autoSpaceDN w:val="0"/>
              <w:spacing w:line="240" w:lineRule="auto"/>
              <w:jc w:val="center"/>
              <w:rPr>
                <w:rFonts w:ascii="Palatino Linotype" w:hAnsi="Palatino Linotype"/>
                <w:color w:val="auto"/>
                <w:sz w:val="20"/>
                <w:szCs w:val="18"/>
                <w:lang w:val="en-GB"/>
              </w:rPr>
            </w:pPr>
            <w:r w:rsidRPr="00024336">
              <w:rPr>
                <w:rFonts w:ascii="Palatino Linotype" w:hAnsi="Palatino Linotype"/>
                <w:color w:val="auto"/>
                <w:sz w:val="20"/>
                <w:szCs w:val="18"/>
                <w:lang w:val="en-GB"/>
              </w:rPr>
              <w:t>0</w:t>
            </w:r>
          </w:p>
        </w:tc>
        <w:tc>
          <w:tcPr>
            <w:tcW w:w="0" w:type="auto"/>
          </w:tcPr>
          <w:p w:rsidR="003C3009" w:rsidRPr="00024336" w:rsidRDefault="003C3009" w:rsidP="00192FE1">
            <w:pPr>
              <w:autoSpaceDE w:val="0"/>
              <w:autoSpaceDN w:val="0"/>
              <w:spacing w:line="240" w:lineRule="auto"/>
              <w:jc w:val="center"/>
              <w:rPr>
                <w:rFonts w:ascii="Palatino Linotype" w:hAnsi="Palatino Linotype"/>
                <w:color w:val="auto"/>
                <w:sz w:val="20"/>
                <w:szCs w:val="18"/>
                <w:lang w:val="en-GB"/>
              </w:rPr>
            </w:pPr>
            <w:r w:rsidRPr="00024336">
              <w:rPr>
                <w:rFonts w:ascii="Palatino Linotype" w:hAnsi="Palatino Linotype"/>
                <w:color w:val="auto"/>
                <w:sz w:val="20"/>
                <w:szCs w:val="18"/>
                <w:lang w:val="en-GB"/>
              </w:rPr>
              <w:t>1</w:t>
            </w:r>
          </w:p>
        </w:tc>
        <w:tc>
          <w:tcPr>
            <w:tcW w:w="0" w:type="auto"/>
          </w:tcPr>
          <w:p w:rsidR="003C3009" w:rsidRPr="00024336" w:rsidRDefault="003C3009" w:rsidP="00192FE1">
            <w:pPr>
              <w:autoSpaceDE w:val="0"/>
              <w:autoSpaceDN w:val="0"/>
              <w:spacing w:line="240" w:lineRule="auto"/>
              <w:jc w:val="center"/>
              <w:rPr>
                <w:rFonts w:ascii="Palatino Linotype" w:hAnsi="Palatino Linotype"/>
                <w:color w:val="auto"/>
                <w:sz w:val="20"/>
                <w:szCs w:val="18"/>
                <w:lang w:val="en-GB"/>
              </w:rPr>
            </w:pPr>
            <w:r w:rsidRPr="00024336">
              <w:rPr>
                <w:rFonts w:ascii="Palatino Linotype" w:hAnsi="Palatino Linotype"/>
                <w:color w:val="auto"/>
                <w:sz w:val="20"/>
                <w:szCs w:val="18"/>
                <w:lang w:val="en-GB"/>
              </w:rPr>
              <w:t>2</w:t>
            </w:r>
          </w:p>
        </w:tc>
        <w:tc>
          <w:tcPr>
            <w:tcW w:w="0" w:type="auto"/>
          </w:tcPr>
          <w:p w:rsidR="003C3009" w:rsidRPr="00024336" w:rsidRDefault="003C3009" w:rsidP="00192FE1">
            <w:pPr>
              <w:autoSpaceDE w:val="0"/>
              <w:autoSpaceDN w:val="0"/>
              <w:spacing w:line="240" w:lineRule="auto"/>
              <w:jc w:val="center"/>
              <w:rPr>
                <w:rFonts w:ascii="Palatino Linotype" w:hAnsi="Palatino Linotype"/>
                <w:color w:val="auto"/>
                <w:sz w:val="20"/>
                <w:szCs w:val="18"/>
                <w:lang w:val="en-GB"/>
              </w:rPr>
            </w:pPr>
            <w:r w:rsidRPr="00024336">
              <w:rPr>
                <w:rFonts w:ascii="Palatino Linotype" w:hAnsi="Palatino Linotype"/>
                <w:color w:val="auto"/>
                <w:sz w:val="20"/>
                <w:szCs w:val="18"/>
                <w:lang w:val="en-GB"/>
              </w:rPr>
              <w:t>3</w:t>
            </w:r>
          </w:p>
        </w:tc>
      </w:tr>
      <w:tr w:rsidR="00EC56C7" w:rsidRPr="00024336" w:rsidTr="00E44F73">
        <w:tc>
          <w:tcPr>
            <w:tcW w:w="0" w:type="auto"/>
            <w:tcBorders>
              <w:top w:val="single" w:sz="4" w:space="0" w:color="auto"/>
              <w:bottom w:val="single" w:sz="4" w:space="0" w:color="auto"/>
            </w:tcBorders>
          </w:tcPr>
          <w:p w:rsidR="003C3009" w:rsidRPr="00024336" w:rsidRDefault="003C3009" w:rsidP="00192FE1">
            <w:pPr>
              <w:autoSpaceDE w:val="0"/>
              <w:autoSpaceDN w:val="0"/>
              <w:spacing w:line="240" w:lineRule="auto"/>
              <w:jc w:val="center"/>
              <w:rPr>
                <w:rFonts w:ascii="Palatino Linotype" w:hAnsi="Palatino Linotype"/>
                <w:color w:val="auto"/>
                <w:sz w:val="20"/>
                <w:szCs w:val="18"/>
                <w:lang w:val="en-GB"/>
              </w:rPr>
            </w:pPr>
            <w:r w:rsidRPr="00024336">
              <w:rPr>
                <w:rFonts w:ascii="Palatino Linotype" w:hAnsi="Palatino Linotype"/>
                <w:color w:val="auto"/>
                <w:sz w:val="20"/>
                <w:szCs w:val="18"/>
                <w:lang w:val="en-GB"/>
              </w:rPr>
              <w:t>Which is your average gluten intake?</w:t>
            </w:r>
          </w:p>
        </w:tc>
        <w:tc>
          <w:tcPr>
            <w:tcW w:w="0" w:type="auto"/>
            <w:tcBorders>
              <w:top w:val="single" w:sz="4" w:space="0" w:color="auto"/>
              <w:bottom w:val="single" w:sz="4" w:space="0" w:color="auto"/>
            </w:tcBorders>
          </w:tcPr>
          <w:p w:rsidR="003C3009" w:rsidRPr="00024336" w:rsidRDefault="003C3009" w:rsidP="00192FE1">
            <w:pPr>
              <w:autoSpaceDE w:val="0"/>
              <w:autoSpaceDN w:val="0"/>
              <w:spacing w:line="240" w:lineRule="auto"/>
              <w:jc w:val="center"/>
              <w:rPr>
                <w:rFonts w:ascii="Palatino Linotype" w:hAnsi="Palatino Linotype"/>
                <w:color w:val="auto"/>
                <w:sz w:val="20"/>
                <w:szCs w:val="18"/>
                <w:lang w:val="en-GB"/>
              </w:rPr>
            </w:pPr>
            <w:r w:rsidRPr="00024336">
              <w:rPr>
                <w:rFonts w:ascii="Palatino Linotype" w:hAnsi="Palatino Linotype"/>
                <w:color w:val="auto"/>
                <w:sz w:val="20"/>
                <w:szCs w:val="18"/>
                <w:lang w:val="en-GB"/>
              </w:rPr>
              <w:t>Less than 3 times/year</w:t>
            </w:r>
          </w:p>
        </w:tc>
        <w:tc>
          <w:tcPr>
            <w:tcW w:w="0" w:type="auto"/>
            <w:tcBorders>
              <w:top w:val="single" w:sz="4" w:space="0" w:color="auto"/>
              <w:bottom w:val="single" w:sz="4" w:space="0" w:color="auto"/>
            </w:tcBorders>
          </w:tcPr>
          <w:p w:rsidR="003C3009" w:rsidRPr="00024336" w:rsidRDefault="003C3009" w:rsidP="00192FE1">
            <w:pPr>
              <w:autoSpaceDE w:val="0"/>
              <w:autoSpaceDN w:val="0"/>
              <w:spacing w:line="240" w:lineRule="auto"/>
              <w:jc w:val="center"/>
              <w:rPr>
                <w:rFonts w:ascii="Palatino Linotype" w:hAnsi="Palatino Linotype"/>
                <w:color w:val="auto"/>
                <w:sz w:val="20"/>
                <w:szCs w:val="18"/>
                <w:lang w:val="en-GB"/>
              </w:rPr>
            </w:pPr>
            <w:r w:rsidRPr="00024336">
              <w:rPr>
                <w:rFonts w:ascii="Palatino Linotype" w:hAnsi="Palatino Linotype"/>
                <w:color w:val="auto"/>
                <w:sz w:val="20"/>
                <w:szCs w:val="18"/>
                <w:lang w:val="en-GB"/>
              </w:rPr>
              <w:t>Less than 6 times/year</w:t>
            </w:r>
          </w:p>
        </w:tc>
        <w:tc>
          <w:tcPr>
            <w:tcW w:w="0" w:type="auto"/>
            <w:tcBorders>
              <w:top w:val="single" w:sz="4" w:space="0" w:color="auto"/>
              <w:bottom w:val="single" w:sz="4" w:space="0" w:color="auto"/>
            </w:tcBorders>
          </w:tcPr>
          <w:p w:rsidR="003C3009" w:rsidRPr="00024336" w:rsidRDefault="003C3009" w:rsidP="00192FE1">
            <w:pPr>
              <w:autoSpaceDE w:val="0"/>
              <w:autoSpaceDN w:val="0"/>
              <w:spacing w:line="240" w:lineRule="auto"/>
              <w:jc w:val="center"/>
              <w:rPr>
                <w:rFonts w:ascii="Palatino Linotype" w:hAnsi="Palatino Linotype"/>
                <w:color w:val="auto"/>
                <w:sz w:val="20"/>
                <w:szCs w:val="18"/>
                <w:lang w:val="en-GB"/>
              </w:rPr>
            </w:pPr>
            <w:r w:rsidRPr="00024336">
              <w:rPr>
                <w:rFonts w:ascii="Palatino Linotype" w:hAnsi="Palatino Linotype"/>
                <w:color w:val="auto"/>
                <w:sz w:val="20"/>
                <w:szCs w:val="18"/>
                <w:lang w:val="en-GB"/>
              </w:rPr>
              <w:t>Monthly</w:t>
            </w:r>
          </w:p>
        </w:tc>
        <w:tc>
          <w:tcPr>
            <w:tcW w:w="0" w:type="auto"/>
            <w:tcBorders>
              <w:top w:val="single" w:sz="4" w:space="0" w:color="auto"/>
              <w:bottom w:val="single" w:sz="4" w:space="0" w:color="auto"/>
            </w:tcBorders>
          </w:tcPr>
          <w:p w:rsidR="003C3009" w:rsidRPr="00024336" w:rsidRDefault="00F06A27" w:rsidP="00192FE1">
            <w:pPr>
              <w:autoSpaceDE w:val="0"/>
              <w:autoSpaceDN w:val="0"/>
              <w:spacing w:line="240" w:lineRule="auto"/>
              <w:jc w:val="center"/>
              <w:rPr>
                <w:rFonts w:ascii="Palatino Linotype" w:hAnsi="Palatino Linotype"/>
                <w:color w:val="auto"/>
                <w:sz w:val="20"/>
                <w:szCs w:val="18"/>
                <w:lang w:val="en-GB"/>
              </w:rPr>
            </w:pPr>
            <w:r w:rsidRPr="00024336">
              <w:rPr>
                <w:rFonts w:ascii="Palatino Linotype" w:hAnsi="Palatino Linotype"/>
                <w:color w:val="auto"/>
                <w:sz w:val="20"/>
                <w:szCs w:val="18"/>
                <w:lang w:val="en-GB"/>
              </w:rPr>
              <w:t>1–2</w:t>
            </w:r>
            <w:r w:rsidR="003C3009" w:rsidRPr="00024336">
              <w:rPr>
                <w:rFonts w:ascii="Palatino Linotype" w:hAnsi="Palatino Linotype"/>
                <w:color w:val="auto"/>
                <w:sz w:val="20"/>
                <w:szCs w:val="18"/>
                <w:lang w:val="en-GB"/>
              </w:rPr>
              <w:t xml:space="preserve"> times/week</w:t>
            </w:r>
          </w:p>
        </w:tc>
      </w:tr>
      <w:tr w:rsidR="00EC56C7" w:rsidRPr="00024336" w:rsidTr="00E44F73">
        <w:tc>
          <w:tcPr>
            <w:tcW w:w="0" w:type="auto"/>
            <w:tcBorders>
              <w:top w:val="single" w:sz="4" w:space="0" w:color="auto"/>
              <w:bottom w:val="single" w:sz="4" w:space="0" w:color="auto"/>
            </w:tcBorders>
          </w:tcPr>
          <w:p w:rsidR="003C3009" w:rsidRPr="00024336" w:rsidRDefault="00192FE1" w:rsidP="00192FE1">
            <w:pPr>
              <w:autoSpaceDE w:val="0"/>
              <w:autoSpaceDN w:val="0"/>
              <w:spacing w:line="240" w:lineRule="auto"/>
              <w:jc w:val="center"/>
              <w:rPr>
                <w:rFonts w:ascii="Palatino Linotype" w:hAnsi="Palatino Linotype"/>
                <w:color w:val="auto"/>
                <w:sz w:val="20"/>
                <w:szCs w:val="18"/>
                <w:lang w:val="en-GB"/>
              </w:rPr>
            </w:pPr>
            <w:r w:rsidRPr="00024336">
              <w:rPr>
                <w:rFonts w:ascii="Palatino Linotype" w:hAnsi="Palatino Linotype"/>
                <w:color w:val="auto"/>
                <w:sz w:val="20"/>
                <w:szCs w:val="18"/>
                <w:lang w:val="en-GB"/>
              </w:rPr>
              <w:t>When dining outside</w:t>
            </w:r>
          </w:p>
        </w:tc>
        <w:tc>
          <w:tcPr>
            <w:tcW w:w="0" w:type="auto"/>
            <w:tcBorders>
              <w:top w:val="single" w:sz="4" w:space="0" w:color="auto"/>
              <w:bottom w:val="single" w:sz="4" w:space="0" w:color="auto"/>
            </w:tcBorders>
          </w:tcPr>
          <w:p w:rsidR="003C3009" w:rsidRPr="00024336" w:rsidRDefault="003C3009" w:rsidP="00192FE1">
            <w:pPr>
              <w:autoSpaceDE w:val="0"/>
              <w:autoSpaceDN w:val="0"/>
              <w:spacing w:line="240" w:lineRule="auto"/>
              <w:jc w:val="center"/>
              <w:rPr>
                <w:rFonts w:ascii="Palatino Linotype" w:hAnsi="Palatino Linotype"/>
                <w:color w:val="auto"/>
                <w:sz w:val="20"/>
                <w:szCs w:val="18"/>
                <w:lang w:val="en-GB"/>
              </w:rPr>
            </w:pPr>
            <w:r w:rsidRPr="00024336">
              <w:rPr>
                <w:rFonts w:ascii="Palatino Linotype" w:hAnsi="Palatino Linotype"/>
                <w:color w:val="auto"/>
                <w:sz w:val="20"/>
                <w:szCs w:val="18"/>
                <w:lang w:val="en-GB"/>
              </w:rPr>
              <w:t>You go to coeliac only friendly restaurants or extensively enquire about food preparation</w:t>
            </w:r>
          </w:p>
        </w:tc>
        <w:tc>
          <w:tcPr>
            <w:tcW w:w="0" w:type="auto"/>
            <w:tcBorders>
              <w:top w:val="single" w:sz="4" w:space="0" w:color="auto"/>
              <w:bottom w:val="single" w:sz="4" w:space="0" w:color="auto"/>
            </w:tcBorders>
          </w:tcPr>
          <w:p w:rsidR="003C3009" w:rsidRPr="00024336" w:rsidRDefault="003C3009" w:rsidP="00192FE1">
            <w:pPr>
              <w:autoSpaceDE w:val="0"/>
              <w:autoSpaceDN w:val="0"/>
              <w:spacing w:line="240" w:lineRule="auto"/>
              <w:jc w:val="center"/>
              <w:rPr>
                <w:rFonts w:ascii="Palatino Linotype" w:hAnsi="Palatino Linotype"/>
                <w:color w:val="auto"/>
                <w:sz w:val="20"/>
                <w:szCs w:val="18"/>
                <w:lang w:val="en-GB"/>
              </w:rPr>
            </w:pPr>
            <w:r w:rsidRPr="00024336">
              <w:rPr>
                <w:rFonts w:ascii="Palatino Linotype" w:hAnsi="Palatino Linotype"/>
                <w:color w:val="auto"/>
                <w:sz w:val="20"/>
                <w:szCs w:val="18"/>
                <w:lang w:val="en-GB"/>
              </w:rPr>
              <w:t xml:space="preserve">You make useful questions on food preparation, but you don’t look for coeliac-friendly restaurants </w:t>
            </w:r>
          </w:p>
        </w:tc>
        <w:tc>
          <w:tcPr>
            <w:tcW w:w="0" w:type="auto"/>
            <w:tcBorders>
              <w:top w:val="single" w:sz="4" w:space="0" w:color="auto"/>
              <w:bottom w:val="single" w:sz="4" w:space="0" w:color="auto"/>
            </w:tcBorders>
          </w:tcPr>
          <w:p w:rsidR="003C3009" w:rsidRPr="00024336" w:rsidRDefault="003C3009" w:rsidP="00192FE1">
            <w:pPr>
              <w:autoSpaceDE w:val="0"/>
              <w:autoSpaceDN w:val="0"/>
              <w:spacing w:line="240" w:lineRule="auto"/>
              <w:jc w:val="center"/>
              <w:rPr>
                <w:rFonts w:ascii="Palatino Linotype" w:hAnsi="Palatino Linotype"/>
                <w:color w:val="auto"/>
                <w:sz w:val="20"/>
                <w:szCs w:val="18"/>
                <w:lang w:val="en-GB"/>
              </w:rPr>
            </w:pPr>
            <w:r w:rsidRPr="00024336">
              <w:rPr>
                <w:rFonts w:ascii="Palatino Linotype" w:hAnsi="Palatino Linotype"/>
                <w:color w:val="auto"/>
                <w:sz w:val="20"/>
                <w:szCs w:val="18"/>
                <w:lang w:val="en-GB"/>
              </w:rPr>
              <w:t>You make few useful questions on food preparation, but you don’t look for coeliac-friendly restaurants</w:t>
            </w:r>
          </w:p>
        </w:tc>
        <w:tc>
          <w:tcPr>
            <w:tcW w:w="0" w:type="auto"/>
            <w:tcBorders>
              <w:top w:val="single" w:sz="4" w:space="0" w:color="auto"/>
              <w:bottom w:val="single" w:sz="4" w:space="0" w:color="auto"/>
            </w:tcBorders>
          </w:tcPr>
          <w:p w:rsidR="003C3009" w:rsidRPr="00024336" w:rsidRDefault="003C3009" w:rsidP="00192FE1">
            <w:pPr>
              <w:autoSpaceDE w:val="0"/>
              <w:autoSpaceDN w:val="0"/>
              <w:spacing w:line="240" w:lineRule="auto"/>
              <w:jc w:val="center"/>
              <w:rPr>
                <w:rFonts w:ascii="Palatino Linotype" w:hAnsi="Palatino Linotype"/>
                <w:color w:val="auto"/>
                <w:sz w:val="20"/>
                <w:szCs w:val="18"/>
                <w:lang w:val="en-GB"/>
              </w:rPr>
            </w:pPr>
            <w:r w:rsidRPr="00024336">
              <w:rPr>
                <w:rFonts w:ascii="Palatino Linotype" w:hAnsi="Palatino Linotype"/>
                <w:color w:val="auto"/>
                <w:sz w:val="20"/>
                <w:szCs w:val="18"/>
                <w:lang w:val="en-GB"/>
              </w:rPr>
              <w:t>You do not enquire about food preparation</w:t>
            </w:r>
          </w:p>
        </w:tc>
      </w:tr>
      <w:tr w:rsidR="00EC56C7" w:rsidRPr="00024336" w:rsidTr="00E44F73">
        <w:tc>
          <w:tcPr>
            <w:tcW w:w="0" w:type="auto"/>
            <w:tcBorders>
              <w:top w:val="single" w:sz="4" w:space="0" w:color="auto"/>
              <w:bottom w:val="single" w:sz="4" w:space="0" w:color="auto"/>
            </w:tcBorders>
          </w:tcPr>
          <w:p w:rsidR="003C3009" w:rsidRPr="00024336" w:rsidRDefault="003C3009" w:rsidP="00192FE1">
            <w:pPr>
              <w:autoSpaceDE w:val="0"/>
              <w:autoSpaceDN w:val="0"/>
              <w:spacing w:line="240" w:lineRule="auto"/>
              <w:jc w:val="center"/>
              <w:rPr>
                <w:rFonts w:ascii="Palatino Linotype" w:hAnsi="Palatino Linotype"/>
                <w:color w:val="auto"/>
                <w:sz w:val="20"/>
                <w:szCs w:val="18"/>
                <w:lang w:val="en-GB"/>
              </w:rPr>
            </w:pPr>
            <w:r w:rsidRPr="00024336">
              <w:rPr>
                <w:rFonts w:ascii="Palatino Linotype" w:hAnsi="Palatino Linotype"/>
                <w:color w:val="auto"/>
                <w:sz w:val="20"/>
                <w:szCs w:val="18"/>
                <w:lang w:val="en-GB"/>
              </w:rPr>
              <w:t>Do you consider accidental gluten exposures important to your health?</w:t>
            </w:r>
          </w:p>
        </w:tc>
        <w:tc>
          <w:tcPr>
            <w:tcW w:w="0" w:type="auto"/>
            <w:tcBorders>
              <w:top w:val="single" w:sz="4" w:space="0" w:color="auto"/>
              <w:bottom w:val="single" w:sz="4" w:space="0" w:color="auto"/>
            </w:tcBorders>
          </w:tcPr>
          <w:p w:rsidR="003C3009" w:rsidRPr="00024336" w:rsidRDefault="003C3009" w:rsidP="00192FE1">
            <w:pPr>
              <w:autoSpaceDE w:val="0"/>
              <w:autoSpaceDN w:val="0"/>
              <w:spacing w:line="240" w:lineRule="auto"/>
              <w:jc w:val="center"/>
              <w:rPr>
                <w:rFonts w:ascii="Palatino Linotype" w:hAnsi="Palatino Linotype"/>
                <w:color w:val="auto"/>
                <w:sz w:val="20"/>
                <w:szCs w:val="18"/>
                <w:lang w:val="en-GB"/>
              </w:rPr>
            </w:pPr>
            <w:r w:rsidRPr="00024336">
              <w:rPr>
                <w:rFonts w:ascii="Palatino Linotype" w:hAnsi="Palatino Linotype"/>
                <w:color w:val="auto"/>
                <w:sz w:val="20"/>
                <w:szCs w:val="18"/>
                <w:lang w:val="en-GB"/>
              </w:rPr>
              <w:t>Yes</w:t>
            </w:r>
          </w:p>
        </w:tc>
        <w:tc>
          <w:tcPr>
            <w:tcW w:w="0" w:type="auto"/>
            <w:tcBorders>
              <w:top w:val="single" w:sz="4" w:space="0" w:color="auto"/>
              <w:bottom w:val="single" w:sz="4" w:space="0" w:color="auto"/>
            </w:tcBorders>
          </w:tcPr>
          <w:p w:rsidR="003C3009" w:rsidRPr="00024336" w:rsidRDefault="003C3009" w:rsidP="00192FE1">
            <w:pPr>
              <w:autoSpaceDE w:val="0"/>
              <w:autoSpaceDN w:val="0"/>
              <w:spacing w:line="240" w:lineRule="auto"/>
              <w:jc w:val="center"/>
              <w:rPr>
                <w:rFonts w:ascii="Palatino Linotype" w:hAnsi="Palatino Linotype"/>
                <w:color w:val="auto"/>
                <w:sz w:val="20"/>
                <w:szCs w:val="18"/>
                <w:lang w:val="en-GB"/>
              </w:rPr>
            </w:pPr>
            <w:r w:rsidRPr="00024336">
              <w:rPr>
                <w:rFonts w:ascii="Palatino Linotype" w:hAnsi="Palatino Linotype"/>
                <w:color w:val="auto"/>
                <w:sz w:val="20"/>
                <w:szCs w:val="18"/>
                <w:lang w:val="en-GB"/>
              </w:rPr>
              <w:t>Unsure</w:t>
            </w:r>
          </w:p>
        </w:tc>
        <w:tc>
          <w:tcPr>
            <w:tcW w:w="0" w:type="auto"/>
            <w:tcBorders>
              <w:top w:val="single" w:sz="4" w:space="0" w:color="auto"/>
              <w:bottom w:val="single" w:sz="4" w:space="0" w:color="auto"/>
            </w:tcBorders>
          </w:tcPr>
          <w:p w:rsidR="003C3009" w:rsidRPr="00024336" w:rsidRDefault="003C3009" w:rsidP="00192FE1">
            <w:pPr>
              <w:autoSpaceDE w:val="0"/>
              <w:autoSpaceDN w:val="0"/>
              <w:spacing w:line="240" w:lineRule="auto"/>
              <w:jc w:val="center"/>
              <w:rPr>
                <w:rFonts w:ascii="Palatino Linotype" w:hAnsi="Palatino Linotype"/>
                <w:color w:val="auto"/>
                <w:sz w:val="20"/>
                <w:szCs w:val="18"/>
                <w:lang w:val="en-GB"/>
              </w:rPr>
            </w:pPr>
            <w:r w:rsidRPr="00024336">
              <w:rPr>
                <w:rFonts w:ascii="Palatino Linotype" w:hAnsi="Palatino Linotype"/>
                <w:color w:val="auto"/>
                <w:sz w:val="20"/>
                <w:szCs w:val="18"/>
                <w:lang w:val="en-GB"/>
              </w:rPr>
              <w:t>A little important</w:t>
            </w:r>
          </w:p>
        </w:tc>
        <w:tc>
          <w:tcPr>
            <w:tcW w:w="0" w:type="auto"/>
            <w:tcBorders>
              <w:top w:val="single" w:sz="4" w:space="0" w:color="auto"/>
              <w:bottom w:val="single" w:sz="4" w:space="0" w:color="auto"/>
            </w:tcBorders>
          </w:tcPr>
          <w:p w:rsidR="003C3009" w:rsidRPr="00024336" w:rsidRDefault="003C3009" w:rsidP="00192FE1">
            <w:pPr>
              <w:autoSpaceDE w:val="0"/>
              <w:autoSpaceDN w:val="0"/>
              <w:spacing w:line="240" w:lineRule="auto"/>
              <w:jc w:val="center"/>
              <w:rPr>
                <w:rFonts w:ascii="Palatino Linotype" w:hAnsi="Palatino Linotype"/>
                <w:color w:val="auto"/>
                <w:sz w:val="20"/>
                <w:szCs w:val="18"/>
                <w:lang w:val="en-GB"/>
              </w:rPr>
            </w:pPr>
            <w:r w:rsidRPr="00024336">
              <w:rPr>
                <w:rFonts w:ascii="Palatino Linotype" w:hAnsi="Palatino Linotype"/>
                <w:color w:val="auto"/>
                <w:sz w:val="20"/>
                <w:szCs w:val="18"/>
                <w:lang w:val="en-GB"/>
              </w:rPr>
              <w:t>Not at all important</w:t>
            </w:r>
          </w:p>
        </w:tc>
      </w:tr>
      <w:tr w:rsidR="00EC56C7" w:rsidRPr="00024336" w:rsidTr="00E44F73">
        <w:tc>
          <w:tcPr>
            <w:tcW w:w="0" w:type="auto"/>
            <w:tcBorders>
              <w:top w:val="single" w:sz="4" w:space="0" w:color="auto"/>
              <w:bottom w:val="single" w:sz="4" w:space="0" w:color="auto"/>
            </w:tcBorders>
          </w:tcPr>
          <w:p w:rsidR="003C3009" w:rsidRPr="00024336" w:rsidRDefault="003C3009" w:rsidP="00192FE1">
            <w:pPr>
              <w:autoSpaceDE w:val="0"/>
              <w:autoSpaceDN w:val="0"/>
              <w:spacing w:line="240" w:lineRule="auto"/>
              <w:jc w:val="center"/>
              <w:rPr>
                <w:rFonts w:ascii="Palatino Linotype" w:hAnsi="Palatino Linotype"/>
                <w:color w:val="auto"/>
                <w:sz w:val="20"/>
                <w:szCs w:val="18"/>
                <w:lang w:val="en-GB"/>
              </w:rPr>
            </w:pPr>
            <w:r w:rsidRPr="00024336">
              <w:rPr>
                <w:rFonts w:ascii="Palatino Linotype" w:hAnsi="Palatino Linotype"/>
                <w:color w:val="auto"/>
                <w:sz w:val="20"/>
                <w:szCs w:val="18"/>
                <w:lang w:val="en-GB"/>
              </w:rPr>
              <w:t>Do you avoid all potential cross-contact in the kitchen?</w:t>
            </w:r>
          </w:p>
        </w:tc>
        <w:tc>
          <w:tcPr>
            <w:tcW w:w="0" w:type="auto"/>
            <w:tcBorders>
              <w:top w:val="single" w:sz="4" w:space="0" w:color="auto"/>
              <w:bottom w:val="single" w:sz="4" w:space="0" w:color="auto"/>
            </w:tcBorders>
          </w:tcPr>
          <w:p w:rsidR="003C3009" w:rsidRPr="00024336" w:rsidRDefault="003C3009" w:rsidP="00192FE1">
            <w:pPr>
              <w:autoSpaceDE w:val="0"/>
              <w:autoSpaceDN w:val="0"/>
              <w:spacing w:line="240" w:lineRule="auto"/>
              <w:jc w:val="center"/>
              <w:rPr>
                <w:rFonts w:ascii="Palatino Linotype" w:hAnsi="Palatino Linotype"/>
                <w:color w:val="auto"/>
                <w:sz w:val="20"/>
                <w:szCs w:val="18"/>
                <w:lang w:val="en-GB"/>
              </w:rPr>
            </w:pPr>
            <w:r w:rsidRPr="00024336">
              <w:rPr>
                <w:rFonts w:ascii="Palatino Linotype" w:hAnsi="Palatino Linotype"/>
                <w:color w:val="auto"/>
                <w:sz w:val="20"/>
                <w:szCs w:val="18"/>
                <w:lang w:val="en-GB"/>
              </w:rPr>
              <w:t>All of them</w:t>
            </w:r>
          </w:p>
        </w:tc>
        <w:tc>
          <w:tcPr>
            <w:tcW w:w="0" w:type="auto"/>
            <w:tcBorders>
              <w:top w:val="single" w:sz="4" w:space="0" w:color="auto"/>
              <w:bottom w:val="single" w:sz="4" w:space="0" w:color="auto"/>
            </w:tcBorders>
          </w:tcPr>
          <w:p w:rsidR="003C3009" w:rsidRPr="00024336" w:rsidRDefault="003C3009" w:rsidP="00192FE1">
            <w:pPr>
              <w:autoSpaceDE w:val="0"/>
              <w:autoSpaceDN w:val="0"/>
              <w:spacing w:line="240" w:lineRule="auto"/>
              <w:jc w:val="center"/>
              <w:rPr>
                <w:rFonts w:ascii="Palatino Linotype" w:hAnsi="Palatino Linotype"/>
                <w:color w:val="auto"/>
                <w:sz w:val="20"/>
                <w:szCs w:val="18"/>
                <w:lang w:val="en-GB"/>
              </w:rPr>
            </w:pPr>
            <w:r w:rsidRPr="00024336">
              <w:rPr>
                <w:rFonts w:ascii="Palatino Linotype" w:hAnsi="Palatino Linotype"/>
                <w:color w:val="auto"/>
                <w:sz w:val="20"/>
                <w:szCs w:val="18"/>
                <w:lang w:val="en-GB"/>
              </w:rPr>
              <w:t>Most of them</w:t>
            </w:r>
          </w:p>
        </w:tc>
        <w:tc>
          <w:tcPr>
            <w:tcW w:w="0" w:type="auto"/>
            <w:tcBorders>
              <w:top w:val="single" w:sz="4" w:space="0" w:color="auto"/>
              <w:bottom w:val="single" w:sz="4" w:space="0" w:color="auto"/>
            </w:tcBorders>
          </w:tcPr>
          <w:p w:rsidR="003C3009" w:rsidRPr="00024336" w:rsidRDefault="003C3009" w:rsidP="00192FE1">
            <w:pPr>
              <w:autoSpaceDE w:val="0"/>
              <w:autoSpaceDN w:val="0"/>
              <w:spacing w:line="240" w:lineRule="auto"/>
              <w:jc w:val="center"/>
              <w:rPr>
                <w:rFonts w:ascii="Palatino Linotype" w:hAnsi="Palatino Linotype"/>
                <w:color w:val="auto"/>
                <w:sz w:val="20"/>
                <w:szCs w:val="18"/>
                <w:lang w:val="en-GB"/>
              </w:rPr>
            </w:pPr>
            <w:r w:rsidRPr="00024336">
              <w:rPr>
                <w:rFonts w:ascii="Palatino Linotype" w:hAnsi="Palatino Linotype"/>
                <w:color w:val="auto"/>
                <w:sz w:val="20"/>
                <w:szCs w:val="18"/>
                <w:lang w:val="en-GB"/>
              </w:rPr>
              <w:t>Some of them</w:t>
            </w:r>
          </w:p>
        </w:tc>
        <w:tc>
          <w:tcPr>
            <w:tcW w:w="0" w:type="auto"/>
            <w:tcBorders>
              <w:top w:val="single" w:sz="4" w:space="0" w:color="auto"/>
              <w:bottom w:val="single" w:sz="4" w:space="0" w:color="auto"/>
            </w:tcBorders>
          </w:tcPr>
          <w:p w:rsidR="003C3009" w:rsidRPr="00024336" w:rsidRDefault="003C3009" w:rsidP="00192FE1">
            <w:pPr>
              <w:autoSpaceDE w:val="0"/>
              <w:autoSpaceDN w:val="0"/>
              <w:spacing w:line="240" w:lineRule="auto"/>
              <w:jc w:val="center"/>
              <w:rPr>
                <w:rFonts w:ascii="Palatino Linotype" w:hAnsi="Palatino Linotype"/>
                <w:color w:val="auto"/>
                <w:sz w:val="20"/>
                <w:szCs w:val="18"/>
                <w:lang w:val="en-GB"/>
              </w:rPr>
            </w:pPr>
            <w:r w:rsidRPr="00024336">
              <w:rPr>
                <w:rFonts w:ascii="Palatino Linotype" w:hAnsi="Palatino Linotype"/>
                <w:color w:val="auto"/>
                <w:sz w:val="20"/>
                <w:szCs w:val="18"/>
                <w:lang w:val="en-GB"/>
              </w:rPr>
              <w:t>None of them</w:t>
            </w:r>
          </w:p>
        </w:tc>
      </w:tr>
      <w:tr w:rsidR="00EC56C7" w:rsidRPr="00024336" w:rsidTr="00E44F73">
        <w:tc>
          <w:tcPr>
            <w:tcW w:w="0" w:type="auto"/>
            <w:tcBorders>
              <w:top w:val="single" w:sz="4" w:space="0" w:color="auto"/>
              <w:bottom w:val="single" w:sz="4" w:space="0" w:color="auto"/>
            </w:tcBorders>
          </w:tcPr>
          <w:p w:rsidR="003C3009" w:rsidRPr="00024336" w:rsidRDefault="003C3009" w:rsidP="00192FE1">
            <w:pPr>
              <w:autoSpaceDE w:val="0"/>
              <w:autoSpaceDN w:val="0"/>
              <w:spacing w:line="240" w:lineRule="auto"/>
              <w:jc w:val="center"/>
              <w:rPr>
                <w:rFonts w:ascii="Palatino Linotype" w:hAnsi="Palatino Linotype"/>
                <w:color w:val="auto"/>
                <w:sz w:val="20"/>
                <w:szCs w:val="18"/>
                <w:lang w:val="en-GB"/>
              </w:rPr>
            </w:pPr>
            <w:r w:rsidRPr="00024336">
              <w:rPr>
                <w:rFonts w:ascii="Palatino Linotype" w:hAnsi="Palatino Linotype"/>
                <w:color w:val="auto"/>
                <w:sz w:val="20"/>
                <w:szCs w:val="18"/>
                <w:lang w:val="en-GB"/>
              </w:rPr>
              <w:t xml:space="preserve">Do you avoid gluten during all social, familiar and scholar activities? </w:t>
            </w:r>
          </w:p>
        </w:tc>
        <w:tc>
          <w:tcPr>
            <w:tcW w:w="0" w:type="auto"/>
            <w:tcBorders>
              <w:top w:val="single" w:sz="4" w:space="0" w:color="auto"/>
              <w:bottom w:val="single" w:sz="4" w:space="0" w:color="auto"/>
            </w:tcBorders>
          </w:tcPr>
          <w:p w:rsidR="003C3009" w:rsidRPr="00024336" w:rsidRDefault="003C3009" w:rsidP="00192FE1">
            <w:pPr>
              <w:autoSpaceDE w:val="0"/>
              <w:autoSpaceDN w:val="0"/>
              <w:spacing w:line="240" w:lineRule="auto"/>
              <w:jc w:val="center"/>
              <w:rPr>
                <w:rFonts w:ascii="Palatino Linotype" w:hAnsi="Palatino Linotype"/>
                <w:color w:val="auto"/>
                <w:sz w:val="20"/>
                <w:szCs w:val="18"/>
                <w:lang w:val="en-GB"/>
              </w:rPr>
            </w:pPr>
            <w:r w:rsidRPr="00024336">
              <w:rPr>
                <w:rFonts w:ascii="Palatino Linotype" w:hAnsi="Palatino Linotype"/>
                <w:color w:val="auto"/>
                <w:sz w:val="20"/>
                <w:szCs w:val="18"/>
                <w:lang w:val="en-GB"/>
              </w:rPr>
              <w:t>All of the time</w:t>
            </w:r>
          </w:p>
        </w:tc>
        <w:tc>
          <w:tcPr>
            <w:tcW w:w="0" w:type="auto"/>
            <w:tcBorders>
              <w:top w:val="single" w:sz="4" w:space="0" w:color="auto"/>
              <w:bottom w:val="single" w:sz="4" w:space="0" w:color="auto"/>
            </w:tcBorders>
          </w:tcPr>
          <w:p w:rsidR="003C3009" w:rsidRPr="00024336" w:rsidRDefault="003C3009" w:rsidP="00192FE1">
            <w:pPr>
              <w:autoSpaceDE w:val="0"/>
              <w:autoSpaceDN w:val="0"/>
              <w:spacing w:line="240" w:lineRule="auto"/>
              <w:jc w:val="center"/>
              <w:rPr>
                <w:rFonts w:ascii="Palatino Linotype" w:hAnsi="Palatino Linotype"/>
                <w:color w:val="auto"/>
                <w:sz w:val="20"/>
                <w:szCs w:val="18"/>
                <w:lang w:val="en-GB"/>
              </w:rPr>
            </w:pPr>
            <w:r w:rsidRPr="00024336">
              <w:rPr>
                <w:rFonts w:ascii="Palatino Linotype" w:hAnsi="Palatino Linotype"/>
                <w:color w:val="auto"/>
                <w:sz w:val="20"/>
                <w:szCs w:val="18"/>
                <w:lang w:val="en-GB"/>
              </w:rPr>
              <w:t>Most of the time</w:t>
            </w:r>
          </w:p>
        </w:tc>
        <w:tc>
          <w:tcPr>
            <w:tcW w:w="0" w:type="auto"/>
            <w:tcBorders>
              <w:top w:val="single" w:sz="4" w:space="0" w:color="auto"/>
              <w:bottom w:val="single" w:sz="4" w:space="0" w:color="auto"/>
            </w:tcBorders>
          </w:tcPr>
          <w:p w:rsidR="003C3009" w:rsidRPr="00024336" w:rsidRDefault="003C3009" w:rsidP="00192FE1">
            <w:pPr>
              <w:autoSpaceDE w:val="0"/>
              <w:autoSpaceDN w:val="0"/>
              <w:spacing w:line="240" w:lineRule="auto"/>
              <w:jc w:val="center"/>
              <w:rPr>
                <w:rFonts w:ascii="Palatino Linotype" w:hAnsi="Palatino Linotype"/>
                <w:color w:val="auto"/>
                <w:sz w:val="20"/>
                <w:szCs w:val="18"/>
                <w:lang w:val="en-GB"/>
              </w:rPr>
            </w:pPr>
            <w:r w:rsidRPr="00024336">
              <w:rPr>
                <w:rFonts w:ascii="Palatino Linotype" w:hAnsi="Palatino Linotype"/>
                <w:color w:val="auto"/>
                <w:sz w:val="20"/>
                <w:szCs w:val="18"/>
                <w:lang w:val="en-GB"/>
              </w:rPr>
              <w:t>Some of thetime</w:t>
            </w:r>
          </w:p>
        </w:tc>
        <w:tc>
          <w:tcPr>
            <w:tcW w:w="0" w:type="auto"/>
            <w:tcBorders>
              <w:top w:val="single" w:sz="4" w:space="0" w:color="auto"/>
              <w:bottom w:val="single" w:sz="4" w:space="0" w:color="auto"/>
            </w:tcBorders>
          </w:tcPr>
          <w:p w:rsidR="003C3009" w:rsidRPr="00024336" w:rsidRDefault="003C3009" w:rsidP="00192FE1">
            <w:pPr>
              <w:autoSpaceDE w:val="0"/>
              <w:autoSpaceDN w:val="0"/>
              <w:spacing w:line="240" w:lineRule="auto"/>
              <w:jc w:val="center"/>
              <w:rPr>
                <w:rFonts w:ascii="Palatino Linotype" w:hAnsi="Palatino Linotype"/>
                <w:color w:val="auto"/>
                <w:sz w:val="20"/>
                <w:szCs w:val="18"/>
                <w:lang w:val="en-GB"/>
              </w:rPr>
            </w:pPr>
            <w:r w:rsidRPr="00024336">
              <w:rPr>
                <w:rFonts w:ascii="Palatino Linotype" w:hAnsi="Palatino Linotype"/>
                <w:color w:val="auto"/>
                <w:sz w:val="20"/>
                <w:szCs w:val="18"/>
                <w:lang w:val="en-GB"/>
              </w:rPr>
              <w:t>Never</w:t>
            </w:r>
          </w:p>
        </w:tc>
      </w:tr>
      <w:tr w:rsidR="00EC56C7" w:rsidRPr="00024336" w:rsidTr="00E44F73">
        <w:tc>
          <w:tcPr>
            <w:tcW w:w="0" w:type="auto"/>
            <w:tcBorders>
              <w:top w:val="single" w:sz="4" w:space="0" w:color="auto"/>
              <w:bottom w:val="single" w:sz="4" w:space="0" w:color="auto"/>
            </w:tcBorders>
          </w:tcPr>
          <w:p w:rsidR="003C3009" w:rsidRPr="00024336" w:rsidRDefault="003C3009" w:rsidP="00192FE1">
            <w:pPr>
              <w:autoSpaceDE w:val="0"/>
              <w:autoSpaceDN w:val="0"/>
              <w:spacing w:line="240" w:lineRule="auto"/>
              <w:jc w:val="center"/>
              <w:rPr>
                <w:rFonts w:ascii="Palatino Linotype" w:hAnsi="Palatino Linotype"/>
                <w:color w:val="auto"/>
                <w:sz w:val="20"/>
                <w:szCs w:val="18"/>
                <w:lang w:val="en-GB"/>
              </w:rPr>
            </w:pPr>
            <w:r w:rsidRPr="00024336">
              <w:rPr>
                <w:rFonts w:ascii="Palatino Linotype" w:hAnsi="Palatino Linotype"/>
                <w:color w:val="auto"/>
                <w:sz w:val="20"/>
                <w:szCs w:val="18"/>
                <w:lang w:val="en-GB"/>
              </w:rPr>
              <w:t>Do you consider yourself ill?</w:t>
            </w:r>
          </w:p>
        </w:tc>
        <w:tc>
          <w:tcPr>
            <w:tcW w:w="0" w:type="auto"/>
            <w:tcBorders>
              <w:top w:val="single" w:sz="4" w:space="0" w:color="auto"/>
              <w:bottom w:val="single" w:sz="4" w:space="0" w:color="auto"/>
            </w:tcBorders>
          </w:tcPr>
          <w:p w:rsidR="003C3009" w:rsidRPr="00024336" w:rsidRDefault="003C3009" w:rsidP="00192FE1">
            <w:pPr>
              <w:autoSpaceDE w:val="0"/>
              <w:autoSpaceDN w:val="0"/>
              <w:spacing w:line="240" w:lineRule="auto"/>
              <w:jc w:val="center"/>
              <w:rPr>
                <w:rFonts w:ascii="Palatino Linotype" w:hAnsi="Palatino Linotype"/>
                <w:color w:val="auto"/>
                <w:sz w:val="20"/>
                <w:szCs w:val="18"/>
                <w:lang w:val="en-GB"/>
              </w:rPr>
            </w:pPr>
            <w:r w:rsidRPr="00024336">
              <w:rPr>
                <w:rFonts w:ascii="Palatino Linotype" w:hAnsi="Palatino Linotype"/>
                <w:color w:val="auto"/>
                <w:sz w:val="20"/>
                <w:szCs w:val="18"/>
                <w:lang w:val="en-GB"/>
              </w:rPr>
              <w:t>No</w:t>
            </w:r>
          </w:p>
        </w:tc>
        <w:tc>
          <w:tcPr>
            <w:tcW w:w="0" w:type="auto"/>
            <w:tcBorders>
              <w:top w:val="single" w:sz="4" w:space="0" w:color="auto"/>
              <w:bottom w:val="single" w:sz="4" w:space="0" w:color="auto"/>
            </w:tcBorders>
          </w:tcPr>
          <w:p w:rsidR="003C3009" w:rsidRPr="00024336" w:rsidRDefault="003C3009" w:rsidP="00192FE1">
            <w:pPr>
              <w:autoSpaceDE w:val="0"/>
              <w:autoSpaceDN w:val="0"/>
              <w:spacing w:line="240" w:lineRule="auto"/>
              <w:jc w:val="center"/>
              <w:rPr>
                <w:rFonts w:ascii="Palatino Linotype" w:hAnsi="Palatino Linotype"/>
                <w:color w:val="auto"/>
                <w:sz w:val="20"/>
                <w:szCs w:val="18"/>
                <w:lang w:val="en-GB"/>
              </w:rPr>
            </w:pPr>
            <w:r w:rsidRPr="00024336">
              <w:rPr>
                <w:rFonts w:ascii="Palatino Linotype" w:hAnsi="Palatino Linotype"/>
                <w:color w:val="auto"/>
                <w:sz w:val="20"/>
                <w:szCs w:val="18"/>
                <w:lang w:val="en-GB"/>
              </w:rPr>
              <w:t>Seldom</w:t>
            </w:r>
          </w:p>
        </w:tc>
        <w:tc>
          <w:tcPr>
            <w:tcW w:w="0" w:type="auto"/>
            <w:tcBorders>
              <w:top w:val="single" w:sz="4" w:space="0" w:color="auto"/>
              <w:bottom w:val="single" w:sz="4" w:space="0" w:color="auto"/>
            </w:tcBorders>
          </w:tcPr>
          <w:p w:rsidR="003C3009" w:rsidRPr="00024336" w:rsidRDefault="003C3009" w:rsidP="00192FE1">
            <w:pPr>
              <w:autoSpaceDE w:val="0"/>
              <w:autoSpaceDN w:val="0"/>
              <w:spacing w:line="240" w:lineRule="auto"/>
              <w:jc w:val="center"/>
              <w:rPr>
                <w:rFonts w:ascii="Palatino Linotype" w:hAnsi="Palatino Linotype"/>
                <w:color w:val="auto"/>
                <w:sz w:val="20"/>
                <w:szCs w:val="18"/>
                <w:lang w:val="en-GB"/>
              </w:rPr>
            </w:pPr>
            <w:r w:rsidRPr="00024336">
              <w:rPr>
                <w:rFonts w:ascii="Palatino Linotype" w:hAnsi="Palatino Linotype"/>
                <w:color w:val="auto"/>
                <w:sz w:val="20"/>
                <w:szCs w:val="18"/>
                <w:lang w:val="en-GB"/>
              </w:rPr>
              <w:t>Some of thetime</w:t>
            </w:r>
          </w:p>
        </w:tc>
        <w:tc>
          <w:tcPr>
            <w:tcW w:w="0" w:type="auto"/>
            <w:tcBorders>
              <w:top w:val="single" w:sz="4" w:space="0" w:color="auto"/>
              <w:bottom w:val="single" w:sz="4" w:space="0" w:color="auto"/>
            </w:tcBorders>
          </w:tcPr>
          <w:p w:rsidR="003C3009" w:rsidRPr="00024336" w:rsidRDefault="003C3009" w:rsidP="00192FE1">
            <w:pPr>
              <w:autoSpaceDE w:val="0"/>
              <w:autoSpaceDN w:val="0"/>
              <w:spacing w:line="240" w:lineRule="auto"/>
              <w:jc w:val="center"/>
              <w:rPr>
                <w:rFonts w:ascii="Palatino Linotype" w:hAnsi="Palatino Linotype"/>
                <w:color w:val="auto"/>
                <w:sz w:val="20"/>
                <w:szCs w:val="18"/>
                <w:lang w:val="en-GB"/>
              </w:rPr>
            </w:pPr>
            <w:r w:rsidRPr="00024336">
              <w:rPr>
                <w:rFonts w:ascii="Palatino Linotype" w:hAnsi="Palatino Linotype"/>
                <w:color w:val="auto"/>
                <w:sz w:val="20"/>
                <w:szCs w:val="18"/>
                <w:lang w:val="en-GB"/>
              </w:rPr>
              <w:t>Yes</w:t>
            </w:r>
          </w:p>
        </w:tc>
      </w:tr>
      <w:tr w:rsidR="00EC56C7" w:rsidRPr="00024336" w:rsidTr="00E44F73">
        <w:tc>
          <w:tcPr>
            <w:tcW w:w="0" w:type="auto"/>
            <w:tcBorders>
              <w:top w:val="single" w:sz="4" w:space="0" w:color="auto"/>
              <w:bottom w:val="single" w:sz="4" w:space="0" w:color="auto"/>
            </w:tcBorders>
          </w:tcPr>
          <w:p w:rsidR="003C3009" w:rsidRPr="00024336" w:rsidRDefault="003C3009" w:rsidP="00192FE1">
            <w:pPr>
              <w:autoSpaceDE w:val="0"/>
              <w:autoSpaceDN w:val="0"/>
              <w:spacing w:line="240" w:lineRule="auto"/>
              <w:jc w:val="center"/>
              <w:rPr>
                <w:rFonts w:ascii="Palatino Linotype" w:hAnsi="Palatino Linotype"/>
                <w:color w:val="auto"/>
                <w:sz w:val="20"/>
                <w:szCs w:val="18"/>
                <w:lang w:val="en-GB"/>
              </w:rPr>
            </w:pPr>
            <w:r w:rsidRPr="00024336">
              <w:rPr>
                <w:rFonts w:ascii="Palatino Linotype" w:hAnsi="Palatino Linotype"/>
                <w:color w:val="auto"/>
                <w:sz w:val="20"/>
                <w:szCs w:val="18"/>
                <w:lang w:val="en-GB"/>
              </w:rPr>
              <w:t xml:space="preserve">Do you check all medications, nasal products and vitamins are gluten free? </w:t>
            </w:r>
          </w:p>
        </w:tc>
        <w:tc>
          <w:tcPr>
            <w:tcW w:w="0" w:type="auto"/>
            <w:tcBorders>
              <w:top w:val="single" w:sz="4" w:space="0" w:color="auto"/>
              <w:bottom w:val="single" w:sz="4" w:space="0" w:color="auto"/>
            </w:tcBorders>
          </w:tcPr>
          <w:p w:rsidR="003C3009" w:rsidRPr="00024336" w:rsidRDefault="003C3009" w:rsidP="00192FE1">
            <w:pPr>
              <w:autoSpaceDE w:val="0"/>
              <w:autoSpaceDN w:val="0"/>
              <w:spacing w:line="240" w:lineRule="auto"/>
              <w:jc w:val="center"/>
              <w:rPr>
                <w:rFonts w:ascii="Palatino Linotype" w:hAnsi="Palatino Linotype"/>
                <w:color w:val="auto"/>
                <w:sz w:val="20"/>
                <w:szCs w:val="18"/>
                <w:lang w:val="en-GB"/>
              </w:rPr>
            </w:pPr>
            <w:r w:rsidRPr="00024336">
              <w:rPr>
                <w:rFonts w:ascii="Palatino Linotype" w:hAnsi="Palatino Linotype"/>
                <w:color w:val="auto"/>
                <w:sz w:val="20"/>
                <w:szCs w:val="18"/>
                <w:lang w:val="en-GB"/>
              </w:rPr>
              <w:t>All of the time</w:t>
            </w:r>
          </w:p>
        </w:tc>
        <w:tc>
          <w:tcPr>
            <w:tcW w:w="0" w:type="auto"/>
            <w:tcBorders>
              <w:top w:val="single" w:sz="4" w:space="0" w:color="auto"/>
              <w:bottom w:val="single" w:sz="4" w:space="0" w:color="auto"/>
            </w:tcBorders>
          </w:tcPr>
          <w:p w:rsidR="003C3009" w:rsidRPr="00024336" w:rsidRDefault="003C3009" w:rsidP="00192FE1">
            <w:pPr>
              <w:autoSpaceDE w:val="0"/>
              <w:autoSpaceDN w:val="0"/>
              <w:spacing w:line="240" w:lineRule="auto"/>
              <w:jc w:val="center"/>
              <w:rPr>
                <w:rFonts w:ascii="Palatino Linotype" w:hAnsi="Palatino Linotype"/>
                <w:color w:val="auto"/>
                <w:sz w:val="20"/>
                <w:szCs w:val="18"/>
                <w:lang w:val="en-GB"/>
              </w:rPr>
            </w:pPr>
            <w:r w:rsidRPr="00024336">
              <w:rPr>
                <w:rFonts w:ascii="Palatino Linotype" w:hAnsi="Palatino Linotype"/>
                <w:color w:val="auto"/>
                <w:sz w:val="20"/>
                <w:szCs w:val="18"/>
                <w:lang w:val="en-GB"/>
              </w:rPr>
              <w:t>Most of the time</w:t>
            </w:r>
          </w:p>
        </w:tc>
        <w:tc>
          <w:tcPr>
            <w:tcW w:w="0" w:type="auto"/>
            <w:tcBorders>
              <w:top w:val="single" w:sz="4" w:space="0" w:color="auto"/>
              <w:bottom w:val="single" w:sz="4" w:space="0" w:color="auto"/>
            </w:tcBorders>
          </w:tcPr>
          <w:p w:rsidR="003C3009" w:rsidRPr="00024336" w:rsidRDefault="003C3009" w:rsidP="00192FE1">
            <w:pPr>
              <w:autoSpaceDE w:val="0"/>
              <w:autoSpaceDN w:val="0"/>
              <w:spacing w:line="240" w:lineRule="auto"/>
              <w:jc w:val="center"/>
              <w:rPr>
                <w:rFonts w:ascii="Palatino Linotype" w:hAnsi="Palatino Linotype"/>
                <w:color w:val="auto"/>
                <w:sz w:val="20"/>
                <w:szCs w:val="18"/>
                <w:lang w:val="en-GB"/>
              </w:rPr>
            </w:pPr>
            <w:r w:rsidRPr="00024336">
              <w:rPr>
                <w:rFonts w:ascii="Palatino Linotype" w:hAnsi="Palatino Linotype"/>
                <w:color w:val="auto"/>
                <w:sz w:val="20"/>
                <w:szCs w:val="18"/>
                <w:lang w:val="en-GB"/>
              </w:rPr>
              <w:t>Some of thetime</w:t>
            </w:r>
          </w:p>
        </w:tc>
        <w:tc>
          <w:tcPr>
            <w:tcW w:w="0" w:type="auto"/>
            <w:tcBorders>
              <w:top w:val="single" w:sz="4" w:space="0" w:color="auto"/>
              <w:bottom w:val="single" w:sz="4" w:space="0" w:color="auto"/>
            </w:tcBorders>
          </w:tcPr>
          <w:p w:rsidR="003C3009" w:rsidRPr="00024336" w:rsidRDefault="003C3009" w:rsidP="00192FE1">
            <w:pPr>
              <w:autoSpaceDE w:val="0"/>
              <w:autoSpaceDN w:val="0"/>
              <w:spacing w:line="240" w:lineRule="auto"/>
              <w:jc w:val="center"/>
              <w:rPr>
                <w:rFonts w:ascii="Palatino Linotype" w:hAnsi="Palatino Linotype"/>
                <w:color w:val="auto"/>
                <w:sz w:val="20"/>
                <w:szCs w:val="18"/>
                <w:lang w:val="en-GB"/>
              </w:rPr>
            </w:pPr>
            <w:r w:rsidRPr="00024336">
              <w:rPr>
                <w:rFonts w:ascii="Palatino Linotype" w:hAnsi="Palatino Linotype"/>
                <w:color w:val="auto"/>
                <w:sz w:val="20"/>
                <w:szCs w:val="18"/>
                <w:lang w:val="en-GB"/>
              </w:rPr>
              <w:t>Never</w:t>
            </w:r>
          </w:p>
        </w:tc>
      </w:tr>
      <w:tr w:rsidR="00EC56C7" w:rsidRPr="00024336" w:rsidTr="00E44F73">
        <w:tc>
          <w:tcPr>
            <w:tcW w:w="0" w:type="auto"/>
            <w:tcBorders>
              <w:top w:val="single" w:sz="4" w:space="0" w:color="auto"/>
              <w:bottom w:val="single" w:sz="8" w:space="0" w:color="auto"/>
            </w:tcBorders>
          </w:tcPr>
          <w:p w:rsidR="003C3009" w:rsidRPr="00024336" w:rsidRDefault="003C3009" w:rsidP="00192FE1">
            <w:pPr>
              <w:autoSpaceDE w:val="0"/>
              <w:autoSpaceDN w:val="0"/>
              <w:spacing w:line="240" w:lineRule="auto"/>
              <w:jc w:val="center"/>
              <w:rPr>
                <w:rFonts w:ascii="Palatino Linotype" w:hAnsi="Palatino Linotype"/>
                <w:color w:val="auto"/>
                <w:sz w:val="20"/>
                <w:szCs w:val="18"/>
                <w:lang w:val="en-GB"/>
              </w:rPr>
            </w:pPr>
            <w:r w:rsidRPr="00024336">
              <w:rPr>
                <w:rFonts w:ascii="Palatino Linotype" w:hAnsi="Palatino Linotype"/>
                <w:color w:val="auto"/>
                <w:sz w:val="20"/>
                <w:szCs w:val="18"/>
                <w:lang w:val="en-GB"/>
              </w:rPr>
              <w:t>Other</w:t>
            </w:r>
          </w:p>
        </w:tc>
        <w:tc>
          <w:tcPr>
            <w:tcW w:w="0" w:type="auto"/>
            <w:tcBorders>
              <w:top w:val="single" w:sz="4" w:space="0" w:color="auto"/>
              <w:bottom w:val="single" w:sz="8" w:space="0" w:color="auto"/>
            </w:tcBorders>
          </w:tcPr>
          <w:p w:rsidR="003C3009" w:rsidRPr="00024336" w:rsidRDefault="003C3009" w:rsidP="00192FE1">
            <w:pPr>
              <w:autoSpaceDE w:val="0"/>
              <w:autoSpaceDN w:val="0"/>
              <w:spacing w:line="240" w:lineRule="auto"/>
              <w:jc w:val="center"/>
              <w:rPr>
                <w:rFonts w:ascii="Palatino Linotype" w:hAnsi="Palatino Linotype"/>
                <w:color w:val="auto"/>
                <w:sz w:val="20"/>
                <w:szCs w:val="18"/>
                <w:lang w:val="en-GB"/>
              </w:rPr>
            </w:pPr>
            <w:r w:rsidRPr="00024336">
              <w:rPr>
                <w:rFonts w:ascii="Palatino Linotype" w:hAnsi="Palatino Linotype"/>
                <w:color w:val="auto"/>
                <w:sz w:val="20"/>
                <w:szCs w:val="18"/>
                <w:lang w:val="en-GB"/>
              </w:rPr>
              <w:t>You carefully read food label</w:t>
            </w:r>
          </w:p>
        </w:tc>
        <w:tc>
          <w:tcPr>
            <w:tcW w:w="0" w:type="auto"/>
            <w:tcBorders>
              <w:top w:val="single" w:sz="4" w:space="0" w:color="auto"/>
              <w:bottom w:val="single" w:sz="8" w:space="0" w:color="auto"/>
            </w:tcBorders>
          </w:tcPr>
          <w:p w:rsidR="003C3009" w:rsidRPr="00024336" w:rsidRDefault="003C3009" w:rsidP="00192FE1">
            <w:pPr>
              <w:autoSpaceDE w:val="0"/>
              <w:autoSpaceDN w:val="0"/>
              <w:spacing w:line="240" w:lineRule="auto"/>
              <w:jc w:val="center"/>
              <w:rPr>
                <w:rFonts w:ascii="Palatino Linotype" w:hAnsi="Palatino Linotype"/>
                <w:color w:val="auto"/>
                <w:sz w:val="20"/>
                <w:szCs w:val="18"/>
                <w:lang w:val="en-GB"/>
              </w:rPr>
            </w:pPr>
          </w:p>
        </w:tc>
        <w:tc>
          <w:tcPr>
            <w:tcW w:w="0" w:type="auto"/>
            <w:tcBorders>
              <w:top w:val="single" w:sz="4" w:space="0" w:color="auto"/>
              <w:bottom w:val="single" w:sz="8" w:space="0" w:color="auto"/>
            </w:tcBorders>
          </w:tcPr>
          <w:p w:rsidR="003C3009" w:rsidRPr="00024336" w:rsidRDefault="003C3009" w:rsidP="00192FE1">
            <w:pPr>
              <w:autoSpaceDE w:val="0"/>
              <w:autoSpaceDN w:val="0"/>
              <w:spacing w:line="240" w:lineRule="auto"/>
              <w:jc w:val="center"/>
              <w:rPr>
                <w:rFonts w:ascii="Palatino Linotype" w:hAnsi="Palatino Linotype"/>
                <w:color w:val="auto"/>
                <w:sz w:val="20"/>
                <w:szCs w:val="18"/>
                <w:lang w:val="en-GB"/>
              </w:rPr>
            </w:pPr>
            <w:r w:rsidRPr="00024336">
              <w:rPr>
                <w:rFonts w:ascii="Palatino Linotype" w:hAnsi="Palatino Linotype"/>
                <w:color w:val="auto"/>
                <w:sz w:val="20"/>
                <w:szCs w:val="18"/>
                <w:lang w:val="en-GB"/>
              </w:rPr>
              <w:t>You do not carefully read food labels/Mental retardation or behaviour problems</w:t>
            </w:r>
          </w:p>
        </w:tc>
        <w:tc>
          <w:tcPr>
            <w:tcW w:w="0" w:type="auto"/>
            <w:tcBorders>
              <w:top w:val="single" w:sz="4" w:space="0" w:color="auto"/>
              <w:bottom w:val="single" w:sz="8" w:space="0" w:color="auto"/>
            </w:tcBorders>
          </w:tcPr>
          <w:p w:rsidR="003C3009" w:rsidRPr="00024336" w:rsidRDefault="003C3009" w:rsidP="00192FE1">
            <w:pPr>
              <w:autoSpaceDE w:val="0"/>
              <w:autoSpaceDN w:val="0"/>
              <w:spacing w:line="240" w:lineRule="auto"/>
              <w:jc w:val="center"/>
              <w:rPr>
                <w:rFonts w:ascii="Palatino Linotype" w:hAnsi="Palatino Linotype"/>
                <w:color w:val="auto"/>
                <w:sz w:val="20"/>
                <w:szCs w:val="18"/>
                <w:lang w:val="en-GB"/>
              </w:rPr>
            </w:pPr>
            <w:r w:rsidRPr="00024336">
              <w:rPr>
                <w:rFonts w:ascii="Palatino Linotype" w:hAnsi="Palatino Linotype"/>
                <w:color w:val="auto"/>
                <w:sz w:val="20"/>
                <w:szCs w:val="18"/>
                <w:lang w:val="en-GB"/>
              </w:rPr>
              <w:t>You have been bothered by low energylevels during the past 4 weeks</w:t>
            </w:r>
          </w:p>
        </w:tc>
      </w:tr>
    </w:tbl>
    <w:p w:rsidR="003C3009" w:rsidRPr="00024336" w:rsidRDefault="00192FE1" w:rsidP="00192FE1">
      <w:pPr>
        <w:pStyle w:val="MDPI22heading2"/>
        <w:rPr>
          <w:lang w:val="en-GB"/>
        </w:rPr>
      </w:pPr>
      <w:r w:rsidRPr="00024336">
        <w:rPr>
          <w:lang w:val="en-GB"/>
        </w:rPr>
        <w:t xml:space="preserve">2.3. </w:t>
      </w:r>
      <w:r w:rsidR="003C3009" w:rsidRPr="00024336">
        <w:rPr>
          <w:lang w:val="en-GB"/>
        </w:rPr>
        <w:t xml:space="preserve">Quality of </w:t>
      </w:r>
      <w:r w:rsidRPr="00024336">
        <w:rPr>
          <w:lang w:val="en-GB"/>
        </w:rPr>
        <w:t>Life Assessment</w:t>
      </w:r>
    </w:p>
    <w:p w:rsidR="003C3009" w:rsidRPr="00024336" w:rsidRDefault="003C3009" w:rsidP="00192FE1">
      <w:pPr>
        <w:pStyle w:val="MDPI31text"/>
        <w:rPr>
          <w:b/>
          <w:lang w:val="en-GB"/>
        </w:rPr>
      </w:pPr>
      <w:r w:rsidRPr="00024336">
        <w:rPr>
          <w:lang w:val="en-GB"/>
        </w:rPr>
        <w:t>Quality of life was assessed through the Psychological General Well-Being Index (PGWBI)</w:t>
      </w:r>
      <w:r w:rsidR="00024336" w:rsidRPr="00024336">
        <w:rPr>
          <w:lang w:val="en-GB"/>
        </w:rPr>
        <w:t>[13]</w:t>
      </w:r>
      <w:r w:rsidRPr="00024336">
        <w:rPr>
          <w:lang w:val="en-GB"/>
        </w:rPr>
        <w:t xml:space="preserve">, a validated questionnaire for adults and paediatric patients </w:t>
      </w:r>
      <w:r w:rsidR="00024336" w:rsidRPr="00024336">
        <w:rPr>
          <w:lang w:val="en-GB"/>
        </w:rPr>
        <w:t>[14]</w:t>
      </w:r>
      <w:r w:rsidRPr="00024336">
        <w:rPr>
          <w:lang w:val="en-GB"/>
        </w:rPr>
        <w:t xml:space="preserve"> comprehensive of 22 items, each with </w:t>
      </w:r>
      <w:r w:rsidR="00F06A27" w:rsidRPr="00024336">
        <w:rPr>
          <w:lang w:val="en-GB"/>
        </w:rPr>
        <w:t>0–5</w:t>
      </w:r>
      <w:r w:rsidRPr="00024336">
        <w:rPr>
          <w:lang w:val="en-GB"/>
        </w:rPr>
        <w:t xml:space="preserve"> score, producing a self-perceived evaluation of psychological well-being expressed by a summary score. The results of the questionnaire were grouped as follows: score </w:t>
      </w:r>
      <w:r w:rsidR="00F06A27" w:rsidRPr="00024336">
        <w:rPr>
          <w:lang w:val="en-GB"/>
        </w:rPr>
        <w:t>0–18 = e</w:t>
      </w:r>
      <w:r w:rsidRPr="00024336">
        <w:rPr>
          <w:lang w:val="en-GB"/>
        </w:rPr>
        <w:t>xcellent, 1</w:t>
      </w:r>
      <w:r w:rsidR="00F06A27" w:rsidRPr="00024336">
        <w:rPr>
          <w:lang w:val="en-GB"/>
        </w:rPr>
        <w:t>9–37 = f</w:t>
      </w:r>
      <w:r w:rsidRPr="00024336">
        <w:rPr>
          <w:lang w:val="en-GB"/>
        </w:rPr>
        <w:t xml:space="preserve">air and </w:t>
      </w:r>
      <w:r w:rsidR="00EE65A8" w:rsidRPr="00024336">
        <w:rPr>
          <w:lang w:val="en-GB"/>
        </w:rPr>
        <w:t xml:space="preserve">≥ </w:t>
      </w:r>
      <w:r w:rsidRPr="00024336">
        <w:rPr>
          <w:lang w:val="en-GB"/>
        </w:rPr>
        <w:t>3</w:t>
      </w:r>
      <w:r w:rsidR="00F06A27" w:rsidRPr="00024336">
        <w:rPr>
          <w:lang w:val="en-GB"/>
        </w:rPr>
        <w:t>8 = l</w:t>
      </w:r>
      <w:r w:rsidRPr="00024336">
        <w:rPr>
          <w:lang w:val="en-GB"/>
        </w:rPr>
        <w:t xml:space="preserve">ow QoL. As adopted for the compliance questionnaire, patients aging ≥ 12 </w:t>
      </w:r>
      <w:r w:rsidRPr="00024336">
        <w:rPr>
          <w:lang w:val="en-GB"/>
        </w:rPr>
        <w:lastRenderedPageBreak/>
        <w:t>years were asked to answer autonomously, while for patients aging &lt;12, guardians completed PGWBI together with their children.</w:t>
      </w:r>
    </w:p>
    <w:p w:rsidR="003C3009" w:rsidRPr="00024336" w:rsidRDefault="003C3009" w:rsidP="00192FE1">
      <w:pPr>
        <w:pStyle w:val="MDPI31text"/>
        <w:rPr>
          <w:b/>
          <w:lang w:val="en-GB"/>
        </w:rPr>
      </w:pPr>
      <w:r w:rsidRPr="00024336">
        <w:rPr>
          <w:lang w:val="en-GB"/>
        </w:rPr>
        <w:t>In order to further assess QoL, the presence of any gastrointestinal symptom was registered using GSRS (Gastrointestinal Symptom Rating Scale), a 15 item internationally validated questionnaire.</w:t>
      </w:r>
    </w:p>
    <w:p w:rsidR="003C3009" w:rsidRPr="00024336" w:rsidRDefault="00192FE1" w:rsidP="00192FE1">
      <w:pPr>
        <w:pStyle w:val="MDPI22heading2"/>
        <w:rPr>
          <w:lang w:val="en-GB"/>
        </w:rPr>
      </w:pPr>
      <w:r w:rsidRPr="00024336">
        <w:rPr>
          <w:lang w:val="en-GB"/>
        </w:rPr>
        <w:t xml:space="preserve">2.4. </w:t>
      </w:r>
      <w:r w:rsidR="003C3009" w:rsidRPr="00024336">
        <w:rPr>
          <w:lang w:val="en-GB"/>
        </w:rPr>
        <w:t xml:space="preserve">Statistical </w:t>
      </w:r>
      <w:r w:rsidRPr="00024336">
        <w:rPr>
          <w:lang w:val="en-GB"/>
        </w:rPr>
        <w:t>Analysis</w:t>
      </w:r>
    </w:p>
    <w:p w:rsidR="003C3009" w:rsidRPr="00024336" w:rsidRDefault="003C3009" w:rsidP="00192FE1">
      <w:pPr>
        <w:pStyle w:val="MDPI31text"/>
        <w:rPr>
          <w:b/>
          <w:lang w:val="en-GB"/>
        </w:rPr>
      </w:pPr>
      <w:r w:rsidRPr="00024336">
        <w:rPr>
          <w:lang w:val="en-GB"/>
        </w:rPr>
        <w:t xml:space="preserve">Continuous variables were screened for normal distribution and transformed to reduce skewness, when required. Student </w:t>
      </w:r>
      <w:r w:rsidRPr="00024336">
        <w:rPr>
          <w:i/>
          <w:lang w:val="en-GB"/>
        </w:rPr>
        <w:t>t</w:t>
      </w:r>
      <w:r w:rsidRPr="00024336">
        <w:rPr>
          <w:lang w:val="en-GB"/>
        </w:rPr>
        <w:t xml:space="preserve">-test and Chi square were adopted to compare means or proportions. ANOVA was used to compare means. A </w:t>
      </w:r>
      <w:r w:rsidR="00363308" w:rsidRPr="00024336">
        <w:rPr>
          <w:i/>
          <w:lang w:val="en-GB"/>
        </w:rPr>
        <w:t>p</w:t>
      </w:r>
      <w:r w:rsidRPr="00024336">
        <w:rPr>
          <w:lang w:val="en-GB"/>
        </w:rPr>
        <w:t xml:space="preserve"> value &lt; 0.05 was considered to be statistically significant. Data were analysed with the SPSS statistical package version 25.</w:t>
      </w:r>
    </w:p>
    <w:p w:rsidR="003C3009" w:rsidRPr="00024336" w:rsidRDefault="00192FE1" w:rsidP="00192FE1">
      <w:pPr>
        <w:pStyle w:val="MDPI21heading1"/>
      </w:pPr>
      <w:r w:rsidRPr="00024336">
        <w:t xml:space="preserve">3. </w:t>
      </w:r>
      <w:r w:rsidR="003C3009" w:rsidRPr="00024336">
        <w:t>Results</w:t>
      </w:r>
    </w:p>
    <w:p w:rsidR="003C3009" w:rsidRPr="00024336" w:rsidRDefault="00192FE1" w:rsidP="00192FE1">
      <w:pPr>
        <w:pStyle w:val="MDPI22heading2"/>
      </w:pPr>
      <w:r w:rsidRPr="00024336">
        <w:rPr>
          <w:lang w:val="en-GB"/>
        </w:rPr>
        <w:t xml:space="preserve">3.1. </w:t>
      </w:r>
      <w:r w:rsidR="003C3009" w:rsidRPr="00024336">
        <w:rPr>
          <w:lang w:val="en-GB"/>
        </w:rPr>
        <w:t xml:space="preserve">Assessment of </w:t>
      </w:r>
      <w:r w:rsidRPr="00024336">
        <w:rPr>
          <w:lang w:val="en-GB"/>
        </w:rPr>
        <w:t xml:space="preserve">Adherence </w:t>
      </w:r>
      <w:r w:rsidR="003C3009" w:rsidRPr="00024336">
        <w:rPr>
          <w:lang w:val="en-GB"/>
        </w:rPr>
        <w:t>to GFD</w:t>
      </w:r>
    </w:p>
    <w:p w:rsidR="003C3009" w:rsidRPr="00024336" w:rsidRDefault="003C3009" w:rsidP="00192FE1">
      <w:pPr>
        <w:pStyle w:val="MDPI31text"/>
        <w:rPr>
          <w:lang w:val="en-GB"/>
        </w:rPr>
      </w:pPr>
      <w:r w:rsidRPr="00024336">
        <w:rPr>
          <w:lang w:val="en-GB"/>
        </w:rPr>
        <w:t>Diet adherence resulted excellent in 95 (59.4%), fair in 46 (28.8%) and low in 19 (11.9%) of the total 160 celiac children.</w:t>
      </w:r>
    </w:p>
    <w:p w:rsidR="003C3009" w:rsidRPr="00024336" w:rsidRDefault="003C3009" w:rsidP="00192FE1">
      <w:pPr>
        <w:pStyle w:val="MDPI31text"/>
        <w:rPr>
          <w:b/>
        </w:rPr>
      </w:pPr>
      <w:r w:rsidRPr="00024336">
        <w:rPr>
          <w:lang w:val="en-GB"/>
        </w:rPr>
        <w:t>In order to assess whether this difference was evident between children and adolescents</w:t>
      </w:r>
      <w:r w:rsidR="0092347C" w:rsidRPr="00024336">
        <w:rPr>
          <w:lang w:val="en-GB"/>
        </w:rPr>
        <w:t>,</w:t>
      </w:r>
      <w:r w:rsidRPr="00024336">
        <w:rPr>
          <w:lang w:val="en-GB"/>
        </w:rPr>
        <w:t xml:space="preserve"> we compared levels of diet adherence between the </w:t>
      </w:r>
      <w:r w:rsidR="0092347C" w:rsidRPr="00024336">
        <w:rPr>
          <w:lang w:val="en-GB"/>
        </w:rPr>
        <w:t xml:space="preserve">two </w:t>
      </w:r>
      <w:r w:rsidRPr="00024336">
        <w:rPr>
          <w:lang w:val="en-GB"/>
        </w:rPr>
        <w:t xml:space="preserve">groups of patients </w:t>
      </w:r>
      <w:r w:rsidR="00F06A27" w:rsidRPr="00024336">
        <w:rPr>
          <w:lang w:val="en-GB"/>
        </w:rPr>
        <w:t>(</w:t>
      </w:r>
      <w:r w:rsidR="00BF0AA2" w:rsidRPr="00024336">
        <w:rPr>
          <w:lang w:val="en-GB"/>
        </w:rPr>
        <w:t>2-</w:t>
      </w:r>
      <w:r w:rsidR="00F06A27" w:rsidRPr="00024336">
        <w:rPr>
          <w:lang w:val="en-GB"/>
        </w:rPr>
        <w:t>1</w:t>
      </w:r>
      <w:r w:rsidR="00BF0AA2" w:rsidRPr="00024336">
        <w:rPr>
          <w:lang w:val="en-GB"/>
        </w:rPr>
        <w:t>1</w:t>
      </w:r>
      <w:r w:rsidRPr="00024336">
        <w:rPr>
          <w:lang w:val="en-GB"/>
        </w:rPr>
        <w:t xml:space="preserve"> years old and ≥ </w:t>
      </w:r>
      <w:r w:rsidR="00BF0AA2" w:rsidRPr="00024336">
        <w:rPr>
          <w:lang w:val="en-GB"/>
        </w:rPr>
        <w:t>12-</w:t>
      </w:r>
      <w:r w:rsidRPr="00024336">
        <w:rPr>
          <w:lang w:val="en-GB"/>
        </w:rPr>
        <w:t>20 years old); better diet adherence was achieved by younger patients X</w:t>
      </w:r>
      <w:r w:rsidRPr="00024336">
        <w:rPr>
          <w:vertAlign w:val="superscript"/>
          <w:lang w:val="en-GB"/>
        </w:rPr>
        <w:t>2</w:t>
      </w:r>
      <w:r w:rsidRPr="00024336">
        <w:rPr>
          <w:lang w:val="en-GB"/>
        </w:rPr>
        <w:t xml:space="preserve"> = 11.9</w:t>
      </w:r>
      <w:r w:rsidR="00E267EC" w:rsidRPr="00024336">
        <w:rPr>
          <w:lang w:val="en-GB"/>
        </w:rPr>
        <w:t>,</w:t>
      </w:r>
      <w:r w:rsidR="00363308" w:rsidRPr="00024336">
        <w:rPr>
          <w:i/>
          <w:lang w:val="en-GB"/>
        </w:rPr>
        <w:t>p</w:t>
      </w:r>
      <w:r w:rsidRPr="00024336">
        <w:rPr>
          <w:lang w:val="en-GB"/>
        </w:rPr>
        <w:t>= 0.003 (Table 2).</w:t>
      </w:r>
    </w:p>
    <w:p w:rsidR="003C3009" w:rsidRPr="00024336" w:rsidRDefault="003C3009" w:rsidP="00192FE1">
      <w:pPr>
        <w:pStyle w:val="MDPI31text"/>
        <w:rPr>
          <w:lang w:val="en-GB"/>
        </w:rPr>
      </w:pPr>
      <w:r w:rsidRPr="00024336">
        <w:rPr>
          <w:lang w:val="en-GB"/>
        </w:rPr>
        <w:t>Anti-transglutaminase antibodies turned out to be above the cut-off values in 19/160 (11.9</w:t>
      </w:r>
      <w:r w:rsidR="00A61228" w:rsidRPr="00024336">
        <w:rPr>
          <w:lang w:val="en-GB"/>
        </w:rPr>
        <w:t>%</w:t>
      </w:r>
      <w:r w:rsidRPr="00024336">
        <w:rPr>
          <w:lang w:val="en-GB"/>
        </w:rPr>
        <w:t>) and no statistically significant correlation was evident between serology and the questionnaire results.</w:t>
      </w:r>
    </w:p>
    <w:p w:rsidR="003C3009" w:rsidRPr="00024336" w:rsidRDefault="003C3009" w:rsidP="00192FE1">
      <w:pPr>
        <w:pStyle w:val="MDPI31text"/>
        <w:rPr>
          <w:lang w:val="en-GB"/>
        </w:rPr>
      </w:pPr>
      <w:r w:rsidRPr="00024336">
        <w:rPr>
          <w:lang w:val="en-GB"/>
        </w:rPr>
        <w:t xml:space="preserve">The dietary interview of the 37 random sample revealed </w:t>
      </w:r>
      <w:r w:rsidR="0092347C" w:rsidRPr="00024336">
        <w:rPr>
          <w:lang w:val="en-GB"/>
        </w:rPr>
        <w:t xml:space="preserve">the </w:t>
      </w:r>
      <w:r w:rsidRPr="00024336">
        <w:rPr>
          <w:lang w:val="en-GB"/>
        </w:rPr>
        <w:t xml:space="preserve">ingestion of significant amount of gluten only in 2/37 (5.4%) children (Table 3). For the vast majority of celiac children </w:t>
      </w:r>
      <w:r w:rsidR="0092347C" w:rsidRPr="00024336">
        <w:rPr>
          <w:lang w:val="en-GB"/>
        </w:rPr>
        <w:t xml:space="preserve">surveyed </w:t>
      </w:r>
      <w:r w:rsidRPr="00024336">
        <w:rPr>
          <w:lang w:val="en-GB"/>
        </w:rPr>
        <w:t>(35/37, 94.6%)</w:t>
      </w:r>
      <w:r w:rsidR="0092347C" w:rsidRPr="00024336">
        <w:rPr>
          <w:lang w:val="en-GB"/>
        </w:rPr>
        <w:t>,</w:t>
      </w:r>
      <w:r w:rsidRPr="00024336">
        <w:rPr>
          <w:lang w:val="en-GB"/>
        </w:rPr>
        <w:t xml:space="preserve"> no significant consumption of gluten could be found, in accordance with the short questionnaire, which estimated that 141 cases (88%) reported an excellent or fair adherence to the GFD. The single case consuming about 800 mg gluten/day was classified at low adherence to the diet by the questionnaire. The other consuming </w:t>
      </w:r>
      <w:r w:rsidR="0092347C" w:rsidRPr="00024336">
        <w:rPr>
          <w:lang w:val="en-GB"/>
        </w:rPr>
        <w:t xml:space="preserve">a </w:t>
      </w:r>
      <w:r w:rsidRPr="00024336">
        <w:rPr>
          <w:lang w:val="en-GB"/>
        </w:rPr>
        <w:t>small quantity of gluten (around 200 mg) was classified as moderately adherent to the diet.</w:t>
      </w:r>
    </w:p>
    <w:p w:rsidR="003C3009" w:rsidRPr="00024336" w:rsidRDefault="009C1290" w:rsidP="009C1290">
      <w:pPr>
        <w:pStyle w:val="MDPI41tablecaption"/>
        <w:jc w:val="center"/>
        <w:rPr>
          <w:b/>
          <w:bCs/>
          <w:lang w:val="en-GB"/>
        </w:rPr>
      </w:pPr>
      <w:r w:rsidRPr="00024336">
        <w:rPr>
          <w:b/>
          <w:bCs/>
          <w:lang w:val="en-GB"/>
        </w:rPr>
        <w:t xml:space="preserve">Table 2. </w:t>
      </w:r>
      <w:r w:rsidR="003C3009" w:rsidRPr="00024336">
        <w:rPr>
          <w:lang w:val="en-GB"/>
        </w:rPr>
        <w:t>Grade of diet adherence in 2 different groups of age (</w:t>
      </w:r>
      <w:r w:rsidR="00F06A27" w:rsidRPr="00024336">
        <w:rPr>
          <w:lang w:val="en-GB"/>
        </w:rPr>
        <w:t>2–11</w:t>
      </w:r>
      <w:r w:rsidR="003C3009" w:rsidRPr="00024336">
        <w:rPr>
          <w:lang w:val="en-GB"/>
        </w:rPr>
        <w:t xml:space="preserve"> and 1</w:t>
      </w:r>
      <w:r w:rsidR="00F06A27" w:rsidRPr="00024336">
        <w:rPr>
          <w:lang w:val="en-GB"/>
        </w:rPr>
        <w:t>2–20</w:t>
      </w:r>
      <w:r w:rsidR="003C3009" w:rsidRPr="00024336">
        <w:rPr>
          <w:lang w:val="en-GB"/>
        </w:rPr>
        <w:t xml:space="preserve"> years old)</w:t>
      </w:r>
      <w:r w:rsidR="00192FE1" w:rsidRPr="00024336">
        <w:rPr>
          <w:lang w:val="en-GB"/>
        </w:rPr>
        <w:t>.</w:t>
      </w:r>
    </w:p>
    <w:tbl>
      <w:tblPr>
        <w:tblStyle w:val="MDPI41threelinetable"/>
        <w:tblW w:w="0" w:type="auto"/>
        <w:tblLook w:val="0000"/>
      </w:tblPr>
      <w:tblGrid>
        <w:gridCol w:w="1182"/>
        <w:gridCol w:w="1020"/>
        <w:gridCol w:w="1947"/>
        <w:gridCol w:w="1116"/>
        <w:gridCol w:w="1216"/>
        <w:gridCol w:w="734"/>
      </w:tblGrid>
      <w:tr w:rsidR="00EC56C7" w:rsidRPr="00024336" w:rsidTr="00E44F73">
        <w:tc>
          <w:tcPr>
            <w:tcW w:w="0" w:type="auto"/>
            <w:gridSpan w:val="3"/>
            <w:vMerge w:val="restart"/>
            <w:tcBorders>
              <w:top w:val="single" w:sz="8" w:space="0" w:color="auto"/>
              <w:bottom w:val="nil"/>
            </w:tcBorders>
          </w:tcPr>
          <w:p w:rsidR="003C3009" w:rsidRPr="00024336" w:rsidRDefault="003C3009" w:rsidP="00192FE1">
            <w:pPr>
              <w:autoSpaceDE w:val="0"/>
              <w:autoSpaceDN w:val="0"/>
              <w:spacing w:line="240" w:lineRule="auto"/>
              <w:jc w:val="center"/>
              <w:rPr>
                <w:rFonts w:ascii="Palatino Linotype" w:eastAsia="SimSun" w:hAnsi="Palatino Linotype" w:cs="Arial"/>
                <w:b/>
                <w:color w:val="auto"/>
                <w:sz w:val="20"/>
                <w:szCs w:val="18"/>
                <w:lang w:val="en-GB" w:eastAsia="it-IT"/>
              </w:rPr>
            </w:pPr>
          </w:p>
        </w:tc>
        <w:tc>
          <w:tcPr>
            <w:tcW w:w="0" w:type="auto"/>
            <w:gridSpan w:val="2"/>
            <w:tcBorders>
              <w:top w:val="single" w:sz="8" w:space="0" w:color="auto"/>
              <w:bottom w:val="nil"/>
            </w:tcBorders>
          </w:tcPr>
          <w:p w:rsidR="003C3009" w:rsidRPr="00024336" w:rsidRDefault="00192FE1" w:rsidP="00192FE1">
            <w:pPr>
              <w:autoSpaceDE w:val="0"/>
              <w:autoSpaceDN w:val="0"/>
              <w:spacing w:line="240" w:lineRule="auto"/>
              <w:jc w:val="center"/>
              <w:rPr>
                <w:rFonts w:ascii="Palatino Linotype" w:eastAsia="SimSun" w:hAnsi="Palatino Linotype" w:cs="Arial"/>
                <w:b/>
                <w:bCs/>
                <w:color w:val="auto"/>
                <w:sz w:val="20"/>
                <w:szCs w:val="18"/>
                <w:lang w:val="en-GB" w:eastAsia="it-IT"/>
              </w:rPr>
            </w:pPr>
            <w:r w:rsidRPr="00024336">
              <w:rPr>
                <w:rFonts w:ascii="Palatino Linotype" w:eastAsia="SimSun" w:hAnsi="Palatino Linotype" w:cs="Arial"/>
                <w:b/>
                <w:bCs/>
                <w:color w:val="auto"/>
                <w:sz w:val="20"/>
                <w:szCs w:val="18"/>
                <w:lang w:val="en-GB" w:eastAsia="it-IT"/>
              </w:rPr>
              <w:t>Age</w:t>
            </w:r>
          </w:p>
        </w:tc>
        <w:tc>
          <w:tcPr>
            <w:tcW w:w="0" w:type="auto"/>
            <w:tcBorders>
              <w:top w:val="single" w:sz="8" w:space="0" w:color="auto"/>
              <w:bottom w:val="nil"/>
            </w:tcBorders>
          </w:tcPr>
          <w:p w:rsidR="003C3009" w:rsidRPr="00024336" w:rsidRDefault="003C3009" w:rsidP="00192FE1">
            <w:pPr>
              <w:autoSpaceDE w:val="0"/>
              <w:autoSpaceDN w:val="0"/>
              <w:spacing w:line="240" w:lineRule="auto"/>
              <w:jc w:val="center"/>
              <w:rPr>
                <w:rFonts w:ascii="Palatino Linotype" w:eastAsia="SimSun" w:hAnsi="Palatino Linotype" w:cs="Arial"/>
                <w:b/>
                <w:color w:val="auto"/>
                <w:sz w:val="20"/>
                <w:szCs w:val="18"/>
                <w:lang w:val="en-GB" w:eastAsia="it-IT"/>
              </w:rPr>
            </w:pPr>
            <w:r w:rsidRPr="00024336">
              <w:rPr>
                <w:rFonts w:ascii="Palatino Linotype" w:eastAsia="SimSun" w:hAnsi="Palatino Linotype" w:cs="Arial"/>
                <w:b/>
                <w:color w:val="auto"/>
                <w:sz w:val="20"/>
                <w:szCs w:val="18"/>
                <w:lang w:val="en-GB" w:eastAsia="it-IT"/>
              </w:rPr>
              <w:t>Total</w:t>
            </w:r>
          </w:p>
        </w:tc>
      </w:tr>
      <w:tr w:rsidR="00EC56C7" w:rsidRPr="00024336" w:rsidTr="00E44F73">
        <w:tc>
          <w:tcPr>
            <w:tcW w:w="0" w:type="auto"/>
            <w:gridSpan w:val="3"/>
            <w:vMerge/>
            <w:tcBorders>
              <w:top w:val="nil"/>
              <w:bottom w:val="single" w:sz="4" w:space="0" w:color="auto"/>
            </w:tcBorders>
          </w:tcPr>
          <w:p w:rsidR="003C3009" w:rsidRPr="00024336" w:rsidRDefault="003C3009" w:rsidP="00192FE1">
            <w:pPr>
              <w:autoSpaceDE w:val="0"/>
              <w:autoSpaceDN w:val="0"/>
              <w:spacing w:line="240" w:lineRule="auto"/>
              <w:jc w:val="center"/>
              <w:rPr>
                <w:rFonts w:ascii="Palatino Linotype" w:eastAsia="SimSun" w:hAnsi="Palatino Linotype" w:cs="Arial"/>
                <w:b/>
                <w:color w:val="auto"/>
                <w:sz w:val="20"/>
                <w:szCs w:val="18"/>
                <w:lang w:val="en-GB" w:eastAsia="it-IT"/>
              </w:rPr>
            </w:pPr>
          </w:p>
        </w:tc>
        <w:tc>
          <w:tcPr>
            <w:tcW w:w="0" w:type="auto"/>
            <w:tcBorders>
              <w:top w:val="nil"/>
              <w:bottom w:val="single" w:sz="4" w:space="0" w:color="auto"/>
            </w:tcBorders>
          </w:tcPr>
          <w:p w:rsidR="003C3009" w:rsidRPr="00024336" w:rsidRDefault="00F06A27" w:rsidP="00192FE1">
            <w:pPr>
              <w:autoSpaceDE w:val="0"/>
              <w:autoSpaceDN w:val="0"/>
              <w:spacing w:line="240" w:lineRule="auto"/>
              <w:jc w:val="center"/>
              <w:rPr>
                <w:rFonts w:ascii="Palatino Linotype" w:eastAsia="SimSun" w:hAnsi="Palatino Linotype" w:cs="Arial"/>
                <w:b/>
                <w:bCs/>
                <w:color w:val="auto"/>
                <w:sz w:val="20"/>
                <w:szCs w:val="18"/>
                <w:lang w:val="en-GB" w:eastAsia="it-IT"/>
              </w:rPr>
            </w:pPr>
            <w:r w:rsidRPr="00024336">
              <w:rPr>
                <w:rFonts w:ascii="Palatino Linotype" w:eastAsia="SimSun" w:hAnsi="Palatino Linotype" w:cs="Arial"/>
                <w:b/>
                <w:bCs/>
                <w:color w:val="auto"/>
                <w:sz w:val="20"/>
                <w:szCs w:val="18"/>
                <w:lang w:val="en-GB" w:eastAsia="it-IT"/>
              </w:rPr>
              <w:t>2–11</w:t>
            </w:r>
            <w:r w:rsidR="00192FE1" w:rsidRPr="00024336">
              <w:rPr>
                <w:rFonts w:ascii="Palatino Linotype" w:eastAsia="SimSun" w:hAnsi="Palatino Linotype" w:cs="Arial"/>
                <w:b/>
                <w:bCs/>
                <w:color w:val="auto"/>
                <w:sz w:val="20"/>
                <w:szCs w:val="18"/>
                <w:lang w:val="en-GB" w:eastAsia="it-IT"/>
              </w:rPr>
              <w:t xml:space="preserve">Years </w:t>
            </w:r>
          </w:p>
        </w:tc>
        <w:tc>
          <w:tcPr>
            <w:tcW w:w="0" w:type="auto"/>
            <w:tcBorders>
              <w:top w:val="nil"/>
              <w:bottom w:val="single" w:sz="4" w:space="0" w:color="auto"/>
            </w:tcBorders>
          </w:tcPr>
          <w:p w:rsidR="003C3009" w:rsidRPr="00024336" w:rsidRDefault="003C3009" w:rsidP="00192FE1">
            <w:pPr>
              <w:autoSpaceDE w:val="0"/>
              <w:autoSpaceDN w:val="0"/>
              <w:spacing w:line="240" w:lineRule="auto"/>
              <w:jc w:val="center"/>
              <w:rPr>
                <w:rFonts w:ascii="Palatino Linotype" w:eastAsia="SimSun" w:hAnsi="Palatino Linotype" w:cs="Arial"/>
                <w:b/>
                <w:bCs/>
                <w:color w:val="auto"/>
                <w:sz w:val="20"/>
                <w:szCs w:val="18"/>
                <w:lang w:val="en-GB" w:eastAsia="it-IT"/>
              </w:rPr>
            </w:pPr>
            <w:r w:rsidRPr="00024336">
              <w:rPr>
                <w:rFonts w:ascii="Palatino Linotype" w:eastAsia="SimSun" w:hAnsi="Palatino Linotype" w:cs="Arial"/>
                <w:b/>
                <w:bCs/>
                <w:color w:val="auto"/>
                <w:sz w:val="20"/>
                <w:szCs w:val="18"/>
                <w:lang w:val="en-GB" w:eastAsia="it-IT"/>
              </w:rPr>
              <w:t>1</w:t>
            </w:r>
            <w:r w:rsidR="00F06A27" w:rsidRPr="00024336">
              <w:rPr>
                <w:rFonts w:ascii="Palatino Linotype" w:eastAsia="SimSun" w:hAnsi="Palatino Linotype" w:cs="Arial"/>
                <w:b/>
                <w:bCs/>
                <w:color w:val="auto"/>
                <w:sz w:val="20"/>
                <w:szCs w:val="18"/>
                <w:lang w:val="en-GB" w:eastAsia="it-IT"/>
              </w:rPr>
              <w:t>2–20</w:t>
            </w:r>
            <w:r w:rsidR="00192FE1" w:rsidRPr="00024336">
              <w:rPr>
                <w:rFonts w:ascii="Palatino Linotype" w:eastAsia="SimSun" w:hAnsi="Palatino Linotype" w:cs="Arial"/>
                <w:b/>
                <w:bCs/>
                <w:color w:val="auto"/>
                <w:sz w:val="20"/>
                <w:szCs w:val="18"/>
                <w:lang w:val="en-GB" w:eastAsia="it-IT"/>
              </w:rPr>
              <w:t>Years</w:t>
            </w:r>
          </w:p>
        </w:tc>
        <w:tc>
          <w:tcPr>
            <w:tcW w:w="0" w:type="auto"/>
            <w:tcBorders>
              <w:top w:val="nil"/>
              <w:bottom w:val="single" w:sz="4" w:space="0" w:color="auto"/>
            </w:tcBorders>
          </w:tcPr>
          <w:p w:rsidR="003C3009" w:rsidRPr="00024336" w:rsidRDefault="003C3009" w:rsidP="00192FE1">
            <w:pPr>
              <w:autoSpaceDE w:val="0"/>
              <w:autoSpaceDN w:val="0"/>
              <w:spacing w:line="240" w:lineRule="auto"/>
              <w:jc w:val="center"/>
              <w:rPr>
                <w:rFonts w:ascii="Palatino Linotype" w:eastAsia="SimSun" w:hAnsi="Palatino Linotype" w:cs="Arial"/>
                <w:b/>
                <w:color w:val="auto"/>
                <w:sz w:val="20"/>
                <w:szCs w:val="18"/>
                <w:lang w:val="en-GB" w:eastAsia="it-IT"/>
              </w:rPr>
            </w:pPr>
          </w:p>
        </w:tc>
      </w:tr>
      <w:tr w:rsidR="00E44F73" w:rsidRPr="00024336" w:rsidTr="00E44F73">
        <w:tc>
          <w:tcPr>
            <w:tcW w:w="0" w:type="auto"/>
            <w:vMerge w:val="restart"/>
            <w:tcBorders>
              <w:top w:val="single" w:sz="4" w:space="0" w:color="auto"/>
            </w:tcBorders>
          </w:tcPr>
          <w:p w:rsidR="003C3009" w:rsidRPr="00024336" w:rsidRDefault="003C3009" w:rsidP="00192FE1">
            <w:pPr>
              <w:autoSpaceDE w:val="0"/>
              <w:autoSpaceDN w:val="0"/>
              <w:spacing w:line="240" w:lineRule="auto"/>
              <w:jc w:val="center"/>
              <w:rPr>
                <w:rFonts w:ascii="Palatino Linotype" w:eastAsia="SimSun" w:hAnsi="Palatino Linotype" w:cs="Arial"/>
                <w:color w:val="auto"/>
                <w:sz w:val="20"/>
                <w:szCs w:val="18"/>
                <w:lang w:val="en-GB" w:eastAsia="it-IT"/>
              </w:rPr>
            </w:pPr>
            <w:r w:rsidRPr="00024336">
              <w:rPr>
                <w:rFonts w:ascii="Palatino Linotype" w:eastAsia="SimSun" w:hAnsi="Palatino Linotype" w:cs="Arial"/>
                <w:color w:val="auto"/>
                <w:sz w:val="20"/>
                <w:szCs w:val="18"/>
                <w:lang w:val="en-GB" w:eastAsia="it-IT"/>
              </w:rPr>
              <w:t>Adherence</w:t>
            </w:r>
          </w:p>
        </w:tc>
        <w:tc>
          <w:tcPr>
            <w:tcW w:w="0" w:type="auto"/>
            <w:vMerge w:val="restart"/>
            <w:tcBorders>
              <w:top w:val="single" w:sz="4" w:space="0" w:color="auto"/>
              <w:bottom w:val="nil"/>
            </w:tcBorders>
          </w:tcPr>
          <w:p w:rsidR="003C3009" w:rsidRPr="00024336" w:rsidRDefault="003C3009" w:rsidP="00192FE1">
            <w:pPr>
              <w:autoSpaceDE w:val="0"/>
              <w:autoSpaceDN w:val="0"/>
              <w:spacing w:line="240" w:lineRule="auto"/>
              <w:jc w:val="center"/>
              <w:rPr>
                <w:rFonts w:ascii="Palatino Linotype" w:eastAsia="SimSun" w:hAnsi="Palatino Linotype" w:cs="Arial"/>
                <w:color w:val="auto"/>
                <w:sz w:val="20"/>
                <w:szCs w:val="18"/>
                <w:lang w:val="en-GB" w:eastAsia="it-IT"/>
              </w:rPr>
            </w:pPr>
            <w:r w:rsidRPr="00024336">
              <w:rPr>
                <w:rFonts w:ascii="Palatino Linotype" w:eastAsia="SimSun" w:hAnsi="Palatino Linotype" w:cs="Arial"/>
                <w:color w:val="auto"/>
                <w:sz w:val="20"/>
                <w:szCs w:val="18"/>
                <w:lang w:val="en-GB" w:eastAsia="it-IT"/>
              </w:rPr>
              <w:t>Low</w:t>
            </w:r>
          </w:p>
        </w:tc>
        <w:tc>
          <w:tcPr>
            <w:tcW w:w="0" w:type="auto"/>
            <w:tcBorders>
              <w:top w:val="single" w:sz="4" w:space="0" w:color="auto"/>
              <w:bottom w:val="nil"/>
            </w:tcBorders>
          </w:tcPr>
          <w:p w:rsidR="003C3009" w:rsidRPr="00024336" w:rsidRDefault="003C3009" w:rsidP="00192FE1">
            <w:pPr>
              <w:autoSpaceDE w:val="0"/>
              <w:autoSpaceDN w:val="0"/>
              <w:spacing w:line="240" w:lineRule="auto"/>
              <w:jc w:val="center"/>
              <w:rPr>
                <w:rFonts w:ascii="Palatino Linotype" w:eastAsia="SimSun" w:hAnsi="Palatino Linotype" w:cs="Arial"/>
                <w:color w:val="auto"/>
                <w:sz w:val="20"/>
                <w:szCs w:val="18"/>
                <w:lang w:val="en-GB" w:eastAsia="it-IT"/>
              </w:rPr>
            </w:pPr>
            <w:r w:rsidRPr="00024336">
              <w:rPr>
                <w:rFonts w:ascii="Palatino Linotype" w:eastAsia="SimSun" w:hAnsi="Palatino Linotype" w:cs="Arial"/>
                <w:color w:val="auto"/>
                <w:sz w:val="20"/>
                <w:szCs w:val="18"/>
                <w:lang w:val="en-GB" w:eastAsia="it-IT"/>
              </w:rPr>
              <w:t>Number of patients</w:t>
            </w:r>
          </w:p>
        </w:tc>
        <w:tc>
          <w:tcPr>
            <w:tcW w:w="0" w:type="auto"/>
            <w:tcBorders>
              <w:top w:val="single" w:sz="4" w:space="0" w:color="auto"/>
              <w:bottom w:val="nil"/>
            </w:tcBorders>
          </w:tcPr>
          <w:p w:rsidR="003C3009" w:rsidRPr="00024336" w:rsidRDefault="003C3009" w:rsidP="00192FE1">
            <w:pPr>
              <w:autoSpaceDE w:val="0"/>
              <w:autoSpaceDN w:val="0"/>
              <w:spacing w:line="240" w:lineRule="auto"/>
              <w:jc w:val="center"/>
              <w:rPr>
                <w:rFonts w:ascii="Palatino Linotype" w:eastAsia="SimSun" w:hAnsi="Palatino Linotype" w:cs="Arial"/>
                <w:color w:val="auto"/>
                <w:sz w:val="20"/>
                <w:szCs w:val="18"/>
                <w:lang w:val="en-GB" w:eastAsia="it-IT"/>
              </w:rPr>
            </w:pPr>
            <w:r w:rsidRPr="00024336">
              <w:rPr>
                <w:rFonts w:ascii="Palatino Linotype" w:eastAsia="SimSun" w:hAnsi="Palatino Linotype" w:cs="Arial"/>
                <w:color w:val="auto"/>
                <w:sz w:val="20"/>
                <w:szCs w:val="18"/>
                <w:lang w:val="en-GB" w:eastAsia="it-IT"/>
              </w:rPr>
              <w:t>2</w:t>
            </w:r>
          </w:p>
        </w:tc>
        <w:tc>
          <w:tcPr>
            <w:tcW w:w="0" w:type="auto"/>
            <w:tcBorders>
              <w:top w:val="single" w:sz="4" w:space="0" w:color="auto"/>
              <w:bottom w:val="nil"/>
            </w:tcBorders>
          </w:tcPr>
          <w:p w:rsidR="003C3009" w:rsidRPr="00024336" w:rsidRDefault="003C3009" w:rsidP="00192FE1">
            <w:pPr>
              <w:autoSpaceDE w:val="0"/>
              <w:autoSpaceDN w:val="0"/>
              <w:spacing w:line="240" w:lineRule="auto"/>
              <w:jc w:val="center"/>
              <w:rPr>
                <w:rFonts w:ascii="Palatino Linotype" w:eastAsia="SimSun" w:hAnsi="Palatino Linotype" w:cs="Arial"/>
                <w:color w:val="auto"/>
                <w:sz w:val="20"/>
                <w:szCs w:val="18"/>
                <w:lang w:val="en-GB" w:eastAsia="it-IT"/>
              </w:rPr>
            </w:pPr>
            <w:r w:rsidRPr="00024336">
              <w:rPr>
                <w:rFonts w:ascii="Palatino Linotype" w:eastAsia="SimSun" w:hAnsi="Palatino Linotype" w:cs="Arial"/>
                <w:color w:val="auto"/>
                <w:sz w:val="20"/>
                <w:szCs w:val="18"/>
                <w:lang w:val="en-GB" w:eastAsia="it-IT"/>
              </w:rPr>
              <w:t>16</w:t>
            </w:r>
          </w:p>
        </w:tc>
        <w:tc>
          <w:tcPr>
            <w:tcW w:w="0" w:type="auto"/>
            <w:tcBorders>
              <w:top w:val="single" w:sz="4" w:space="0" w:color="auto"/>
              <w:bottom w:val="nil"/>
            </w:tcBorders>
          </w:tcPr>
          <w:p w:rsidR="003C3009" w:rsidRPr="00024336" w:rsidRDefault="003C3009" w:rsidP="00192FE1">
            <w:pPr>
              <w:autoSpaceDE w:val="0"/>
              <w:autoSpaceDN w:val="0"/>
              <w:spacing w:line="240" w:lineRule="auto"/>
              <w:jc w:val="center"/>
              <w:rPr>
                <w:rFonts w:ascii="Palatino Linotype" w:eastAsia="SimSun" w:hAnsi="Palatino Linotype" w:cs="Arial"/>
                <w:color w:val="auto"/>
                <w:sz w:val="20"/>
                <w:szCs w:val="18"/>
                <w:lang w:val="en-GB" w:eastAsia="it-IT"/>
              </w:rPr>
            </w:pPr>
            <w:r w:rsidRPr="00024336">
              <w:rPr>
                <w:rFonts w:ascii="Palatino Linotype" w:eastAsia="SimSun" w:hAnsi="Palatino Linotype" w:cs="Arial"/>
                <w:color w:val="auto"/>
                <w:sz w:val="20"/>
                <w:szCs w:val="18"/>
                <w:lang w:val="en-GB" w:eastAsia="it-IT"/>
              </w:rPr>
              <w:t>18</w:t>
            </w:r>
          </w:p>
        </w:tc>
      </w:tr>
      <w:tr w:rsidR="00E44F73" w:rsidRPr="00024336" w:rsidTr="00E44F73">
        <w:tc>
          <w:tcPr>
            <w:tcW w:w="0" w:type="auto"/>
            <w:vMerge/>
          </w:tcPr>
          <w:p w:rsidR="003C3009" w:rsidRPr="00024336" w:rsidRDefault="003C3009" w:rsidP="00192FE1">
            <w:pPr>
              <w:autoSpaceDE w:val="0"/>
              <w:autoSpaceDN w:val="0"/>
              <w:spacing w:line="240" w:lineRule="auto"/>
              <w:jc w:val="center"/>
              <w:rPr>
                <w:rFonts w:ascii="Palatino Linotype" w:eastAsia="SimSun" w:hAnsi="Palatino Linotype" w:cs="Arial"/>
                <w:color w:val="auto"/>
                <w:sz w:val="20"/>
                <w:szCs w:val="18"/>
                <w:lang w:val="en-GB" w:eastAsia="it-IT"/>
              </w:rPr>
            </w:pPr>
          </w:p>
        </w:tc>
        <w:tc>
          <w:tcPr>
            <w:tcW w:w="0" w:type="auto"/>
            <w:vMerge/>
            <w:tcBorders>
              <w:top w:val="nil"/>
              <w:bottom w:val="single" w:sz="4" w:space="0" w:color="auto"/>
            </w:tcBorders>
          </w:tcPr>
          <w:p w:rsidR="003C3009" w:rsidRPr="00024336" w:rsidRDefault="003C3009" w:rsidP="00192FE1">
            <w:pPr>
              <w:autoSpaceDE w:val="0"/>
              <w:autoSpaceDN w:val="0"/>
              <w:spacing w:line="240" w:lineRule="auto"/>
              <w:jc w:val="center"/>
              <w:rPr>
                <w:rFonts w:ascii="Palatino Linotype" w:eastAsia="SimSun" w:hAnsi="Palatino Linotype" w:cs="Arial"/>
                <w:color w:val="auto"/>
                <w:sz w:val="20"/>
                <w:szCs w:val="18"/>
                <w:lang w:val="en-GB" w:eastAsia="it-IT"/>
              </w:rPr>
            </w:pPr>
          </w:p>
        </w:tc>
        <w:tc>
          <w:tcPr>
            <w:tcW w:w="0" w:type="auto"/>
            <w:tcBorders>
              <w:top w:val="nil"/>
              <w:bottom w:val="single" w:sz="4" w:space="0" w:color="auto"/>
            </w:tcBorders>
          </w:tcPr>
          <w:p w:rsidR="003C3009" w:rsidRPr="00024336" w:rsidRDefault="003C3009" w:rsidP="00192FE1">
            <w:pPr>
              <w:autoSpaceDE w:val="0"/>
              <w:autoSpaceDN w:val="0"/>
              <w:spacing w:line="240" w:lineRule="auto"/>
              <w:jc w:val="center"/>
              <w:rPr>
                <w:rFonts w:ascii="Palatino Linotype" w:eastAsia="SimSun" w:hAnsi="Palatino Linotype" w:cs="Arial"/>
                <w:color w:val="auto"/>
                <w:sz w:val="20"/>
                <w:szCs w:val="18"/>
                <w:lang w:val="en-GB" w:eastAsia="it-IT"/>
              </w:rPr>
            </w:pPr>
            <w:r w:rsidRPr="00024336">
              <w:rPr>
                <w:rFonts w:ascii="Palatino Linotype" w:eastAsia="SimSun" w:hAnsi="Palatino Linotype" w:cs="Arial"/>
                <w:color w:val="auto"/>
                <w:sz w:val="20"/>
                <w:szCs w:val="18"/>
                <w:lang w:val="en-GB" w:eastAsia="it-IT"/>
              </w:rPr>
              <w:t>Percentage</w:t>
            </w:r>
          </w:p>
        </w:tc>
        <w:tc>
          <w:tcPr>
            <w:tcW w:w="0" w:type="auto"/>
            <w:tcBorders>
              <w:top w:val="nil"/>
              <w:bottom w:val="single" w:sz="4" w:space="0" w:color="auto"/>
            </w:tcBorders>
          </w:tcPr>
          <w:p w:rsidR="003C3009" w:rsidRPr="00024336" w:rsidRDefault="003C3009" w:rsidP="00192FE1">
            <w:pPr>
              <w:autoSpaceDE w:val="0"/>
              <w:autoSpaceDN w:val="0"/>
              <w:spacing w:line="240" w:lineRule="auto"/>
              <w:jc w:val="center"/>
              <w:rPr>
                <w:rFonts w:ascii="Palatino Linotype" w:eastAsia="SimSun" w:hAnsi="Palatino Linotype" w:cs="Arial"/>
                <w:color w:val="auto"/>
                <w:sz w:val="20"/>
                <w:szCs w:val="18"/>
                <w:lang w:val="en-GB" w:eastAsia="it-IT"/>
              </w:rPr>
            </w:pPr>
            <w:r w:rsidRPr="00024336">
              <w:rPr>
                <w:rFonts w:ascii="Palatino Linotype" w:eastAsia="SimSun" w:hAnsi="Palatino Linotype" w:cs="Arial"/>
                <w:color w:val="auto"/>
                <w:sz w:val="20"/>
                <w:szCs w:val="18"/>
                <w:lang w:val="en-GB" w:eastAsia="it-IT"/>
              </w:rPr>
              <w:t>3%</w:t>
            </w:r>
          </w:p>
        </w:tc>
        <w:tc>
          <w:tcPr>
            <w:tcW w:w="0" w:type="auto"/>
            <w:tcBorders>
              <w:top w:val="nil"/>
              <w:bottom w:val="single" w:sz="4" w:space="0" w:color="auto"/>
            </w:tcBorders>
          </w:tcPr>
          <w:p w:rsidR="003C3009" w:rsidRPr="00024336" w:rsidRDefault="003C3009" w:rsidP="00192FE1">
            <w:pPr>
              <w:autoSpaceDE w:val="0"/>
              <w:autoSpaceDN w:val="0"/>
              <w:spacing w:line="240" w:lineRule="auto"/>
              <w:jc w:val="center"/>
              <w:rPr>
                <w:rFonts w:ascii="Palatino Linotype" w:eastAsia="SimSun" w:hAnsi="Palatino Linotype" w:cs="Arial"/>
                <w:color w:val="auto"/>
                <w:sz w:val="20"/>
                <w:szCs w:val="18"/>
                <w:lang w:val="en-GB" w:eastAsia="it-IT"/>
              </w:rPr>
            </w:pPr>
            <w:r w:rsidRPr="00024336">
              <w:rPr>
                <w:rFonts w:ascii="Palatino Linotype" w:eastAsia="SimSun" w:hAnsi="Palatino Linotype" w:cs="Arial"/>
                <w:color w:val="auto"/>
                <w:sz w:val="20"/>
                <w:szCs w:val="18"/>
                <w:lang w:val="en-GB" w:eastAsia="it-IT"/>
              </w:rPr>
              <w:t>17.6%</w:t>
            </w:r>
          </w:p>
        </w:tc>
        <w:tc>
          <w:tcPr>
            <w:tcW w:w="0" w:type="auto"/>
            <w:tcBorders>
              <w:top w:val="nil"/>
              <w:bottom w:val="single" w:sz="4" w:space="0" w:color="auto"/>
            </w:tcBorders>
          </w:tcPr>
          <w:p w:rsidR="003C3009" w:rsidRPr="00024336" w:rsidRDefault="003C3009" w:rsidP="00192FE1">
            <w:pPr>
              <w:autoSpaceDE w:val="0"/>
              <w:autoSpaceDN w:val="0"/>
              <w:spacing w:line="240" w:lineRule="auto"/>
              <w:jc w:val="center"/>
              <w:rPr>
                <w:rFonts w:ascii="Palatino Linotype" w:eastAsia="SimSun" w:hAnsi="Palatino Linotype" w:cs="Arial"/>
                <w:color w:val="auto"/>
                <w:sz w:val="20"/>
                <w:szCs w:val="18"/>
                <w:lang w:val="en-GB" w:eastAsia="it-IT"/>
              </w:rPr>
            </w:pPr>
            <w:r w:rsidRPr="00024336">
              <w:rPr>
                <w:rFonts w:ascii="Palatino Linotype" w:eastAsia="SimSun" w:hAnsi="Palatino Linotype" w:cs="Arial"/>
                <w:color w:val="auto"/>
                <w:sz w:val="20"/>
                <w:szCs w:val="18"/>
                <w:lang w:val="en-GB" w:eastAsia="it-IT"/>
              </w:rPr>
              <w:t>11.9%</w:t>
            </w:r>
          </w:p>
        </w:tc>
      </w:tr>
      <w:tr w:rsidR="00E44F73" w:rsidRPr="00024336" w:rsidTr="00E44F73">
        <w:tc>
          <w:tcPr>
            <w:tcW w:w="0" w:type="auto"/>
            <w:vMerge/>
          </w:tcPr>
          <w:p w:rsidR="003C3009" w:rsidRPr="00024336" w:rsidRDefault="003C3009" w:rsidP="00192FE1">
            <w:pPr>
              <w:autoSpaceDE w:val="0"/>
              <w:autoSpaceDN w:val="0"/>
              <w:spacing w:line="240" w:lineRule="auto"/>
              <w:jc w:val="center"/>
              <w:rPr>
                <w:rFonts w:ascii="Palatino Linotype" w:eastAsia="SimSun" w:hAnsi="Palatino Linotype" w:cs="Arial"/>
                <w:color w:val="auto"/>
                <w:sz w:val="20"/>
                <w:szCs w:val="18"/>
                <w:lang w:val="en-GB" w:eastAsia="it-IT"/>
              </w:rPr>
            </w:pPr>
          </w:p>
        </w:tc>
        <w:tc>
          <w:tcPr>
            <w:tcW w:w="0" w:type="auto"/>
            <w:vMerge w:val="restart"/>
            <w:tcBorders>
              <w:top w:val="single" w:sz="4" w:space="0" w:color="auto"/>
              <w:bottom w:val="nil"/>
            </w:tcBorders>
          </w:tcPr>
          <w:p w:rsidR="003C3009" w:rsidRPr="00024336" w:rsidRDefault="003C3009" w:rsidP="00192FE1">
            <w:pPr>
              <w:autoSpaceDE w:val="0"/>
              <w:autoSpaceDN w:val="0"/>
              <w:spacing w:line="240" w:lineRule="auto"/>
              <w:jc w:val="center"/>
              <w:rPr>
                <w:rFonts w:ascii="Palatino Linotype" w:eastAsia="SimSun" w:hAnsi="Palatino Linotype" w:cs="Arial"/>
                <w:color w:val="auto"/>
                <w:sz w:val="20"/>
                <w:szCs w:val="18"/>
                <w:lang w:val="en-GB" w:eastAsia="it-IT"/>
              </w:rPr>
            </w:pPr>
            <w:r w:rsidRPr="00024336">
              <w:rPr>
                <w:rFonts w:ascii="Palatino Linotype" w:eastAsia="SimSun" w:hAnsi="Palatino Linotype" w:cs="Arial"/>
                <w:color w:val="auto"/>
                <w:sz w:val="20"/>
                <w:szCs w:val="18"/>
                <w:lang w:val="en-GB" w:eastAsia="it-IT"/>
              </w:rPr>
              <w:t>Fair</w:t>
            </w:r>
          </w:p>
        </w:tc>
        <w:tc>
          <w:tcPr>
            <w:tcW w:w="0" w:type="auto"/>
            <w:tcBorders>
              <w:top w:val="single" w:sz="4" w:space="0" w:color="auto"/>
              <w:bottom w:val="nil"/>
            </w:tcBorders>
          </w:tcPr>
          <w:p w:rsidR="003C3009" w:rsidRPr="00024336" w:rsidRDefault="003C3009" w:rsidP="00192FE1">
            <w:pPr>
              <w:autoSpaceDE w:val="0"/>
              <w:autoSpaceDN w:val="0"/>
              <w:spacing w:line="240" w:lineRule="auto"/>
              <w:jc w:val="center"/>
              <w:rPr>
                <w:rFonts w:ascii="Palatino Linotype" w:eastAsia="SimSun" w:hAnsi="Palatino Linotype" w:cs="Arial"/>
                <w:color w:val="auto"/>
                <w:sz w:val="20"/>
                <w:szCs w:val="18"/>
                <w:lang w:val="en-GB" w:eastAsia="it-IT"/>
              </w:rPr>
            </w:pPr>
            <w:r w:rsidRPr="00024336">
              <w:rPr>
                <w:rFonts w:ascii="Palatino Linotype" w:eastAsia="SimSun" w:hAnsi="Palatino Linotype" w:cs="Arial"/>
                <w:color w:val="auto"/>
                <w:sz w:val="20"/>
                <w:szCs w:val="18"/>
                <w:lang w:val="en-GB" w:eastAsia="it-IT"/>
              </w:rPr>
              <w:t>Number of patients</w:t>
            </w:r>
          </w:p>
        </w:tc>
        <w:tc>
          <w:tcPr>
            <w:tcW w:w="0" w:type="auto"/>
            <w:tcBorders>
              <w:top w:val="single" w:sz="4" w:space="0" w:color="auto"/>
              <w:bottom w:val="nil"/>
            </w:tcBorders>
          </w:tcPr>
          <w:p w:rsidR="003C3009" w:rsidRPr="00024336" w:rsidRDefault="003C3009" w:rsidP="00192FE1">
            <w:pPr>
              <w:autoSpaceDE w:val="0"/>
              <w:autoSpaceDN w:val="0"/>
              <w:spacing w:line="240" w:lineRule="auto"/>
              <w:jc w:val="center"/>
              <w:rPr>
                <w:rFonts w:ascii="Palatino Linotype" w:eastAsia="SimSun" w:hAnsi="Palatino Linotype" w:cs="Arial"/>
                <w:color w:val="auto"/>
                <w:sz w:val="20"/>
                <w:szCs w:val="18"/>
                <w:lang w:val="en-GB" w:eastAsia="it-IT"/>
              </w:rPr>
            </w:pPr>
            <w:r w:rsidRPr="00024336">
              <w:rPr>
                <w:rFonts w:ascii="Palatino Linotype" w:eastAsia="SimSun" w:hAnsi="Palatino Linotype" w:cs="Arial"/>
                <w:color w:val="auto"/>
                <w:sz w:val="20"/>
                <w:szCs w:val="18"/>
                <w:lang w:val="en-GB" w:eastAsia="it-IT"/>
              </w:rPr>
              <w:t>16</w:t>
            </w:r>
          </w:p>
        </w:tc>
        <w:tc>
          <w:tcPr>
            <w:tcW w:w="0" w:type="auto"/>
            <w:tcBorders>
              <w:top w:val="single" w:sz="4" w:space="0" w:color="auto"/>
              <w:bottom w:val="nil"/>
            </w:tcBorders>
          </w:tcPr>
          <w:p w:rsidR="003C3009" w:rsidRPr="00024336" w:rsidRDefault="003C3009" w:rsidP="00192FE1">
            <w:pPr>
              <w:autoSpaceDE w:val="0"/>
              <w:autoSpaceDN w:val="0"/>
              <w:spacing w:line="240" w:lineRule="auto"/>
              <w:jc w:val="center"/>
              <w:rPr>
                <w:rFonts w:ascii="Palatino Linotype" w:eastAsia="SimSun" w:hAnsi="Palatino Linotype" w:cs="Arial"/>
                <w:color w:val="auto"/>
                <w:sz w:val="20"/>
                <w:szCs w:val="18"/>
                <w:lang w:val="en-GB" w:eastAsia="it-IT"/>
              </w:rPr>
            </w:pPr>
            <w:r w:rsidRPr="00024336">
              <w:rPr>
                <w:rFonts w:ascii="Palatino Linotype" w:eastAsia="SimSun" w:hAnsi="Palatino Linotype" w:cs="Arial"/>
                <w:color w:val="auto"/>
                <w:sz w:val="20"/>
                <w:szCs w:val="18"/>
                <w:lang w:val="en-GB" w:eastAsia="it-IT"/>
              </w:rPr>
              <w:t>30</w:t>
            </w:r>
          </w:p>
        </w:tc>
        <w:tc>
          <w:tcPr>
            <w:tcW w:w="0" w:type="auto"/>
            <w:tcBorders>
              <w:top w:val="single" w:sz="4" w:space="0" w:color="auto"/>
              <w:bottom w:val="nil"/>
            </w:tcBorders>
          </w:tcPr>
          <w:p w:rsidR="003C3009" w:rsidRPr="00024336" w:rsidRDefault="003C3009" w:rsidP="00192FE1">
            <w:pPr>
              <w:autoSpaceDE w:val="0"/>
              <w:autoSpaceDN w:val="0"/>
              <w:spacing w:line="240" w:lineRule="auto"/>
              <w:jc w:val="center"/>
              <w:rPr>
                <w:rFonts w:ascii="Palatino Linotype" w:eastAsia="SimSun" w:hAnsi="Palatino Linotype" w:cs="Arial"/>
                <w:color w:val="auto"/>
                <w:sz w:val="20"/>
                <w:szCs w:val="18"/>
                <w:lang w:val="en-GB" w:eastAsia="it-IT"/>
              </w:rPr>
            </w:pPr>
            <w:r w:rsidRPr="00024336">
              <w:rPr>
                <w:rFonts w:ascii="Palatino Linotype" w:eastAsia="SimSun" w:hAnsi="Palatino Linotype" w:cs="Arial"/>
                <w:color w:val="auto"/>
                <w:sz w:val="20"/>
                <w:szCs w:val="18"/>
                <w:lang w:val="en-GB" w:eastAsia="it-IT"/>
              </w:rPr>
              <w:t>4</w:t>
            </w:r>
            <w:r w:rsidR="00BF0AA2" w:rsidRPr="00024336">
              <w:rPr>
                <w:rFonts w:ascii="Palatino Linotype" w:eastAsia="SimSun" w:hAnsi="Palatino Linotype" w:cs="Arial"/>
                <w:color w:val="auto"/>
                <w:sz w:val="20"/>
                <w:szCs w:val="18"/>
                <w:lang w:val="en-GB" w:eastAsia="it-IT"/>
              </w:rPr>
              <w:t>6</w:t>
            </w:r>
          </w:p>
        </w:tc>
      </w:tr>
      <w:tr w:rsidR="00E44F73" w:rsidRPr="00024336" w:rsidTr="00E44F73">
        <w:tc>
          <w:tcPr>
            <w:tcW w:w="0" w:type="auto"/>
            <w:vMerge/>
          </w:tcPr>
          <w:p w:rsidR="003C3009" w:rsidRPr="00024336" w:rsidRDefault="003C3009" w:rsidP="00192FE1">
            <w:pPr>
              <w:autoSpaceDE w:val="0"/>
              <w:autoSpaceDN w:val="0"/>
              <w:spacing w:line="240" w:lineRule="auto"/>
              <w:jc w:val="center"/>
              <w:rPr>
                <w:rFonts w:ascii="Palatino Linotype" w:eastAsia="SimSun" w:hAnsi="Palatino Linotype" w:cs="Arial"/>
                <w:color w:val="auto"/>
                <w:sz w:val="20"/>
                <w:szCs w:val="18"/>
                <w:lang w:val="en-GB" w:eastAsia="it-IT"/>
              </w:rPr>
            </w:pPr>
          </w:p>
        </w:tc>
        <w:tc>
          <w:tcPr>
            <w:tcW w:w="0" w:type="auto"/>
            <w:vMerge/>
            <w:tcBorders>
              <w:top w:val="nil"/>
              <w:bottom w:val="single" w:sz="4" w:space="0" w:color="auto"/>
            </w:tcBorders>
          </w:tcPr>
          <w:p w:rsidR="003C3009" w:rsidRPr="00024336" w:rsidRDefault="003C3009" w:rsidP="00192FE1">
            <w:pPr>
              <w:autoSpaceDE w:val="0"/>
              <w:autoSpaceDN w:val="0"/>
              <w:spacing w:line="240" w:lineRule="auto"/>
              <w:jc w:val="center"/>
              <w:rPr>
                <w:rFonts w:ascii="Palatino Linotype" w:eastAsia="SimSun" w:hAnsi="Palatino Linotype" w:cs="Arial"/>
                <w:color w:val="auto"/>
                <w:sz w:val="20"/>
                <w:szCs w:val="18"/>
                <w:lang w:val="en-GB" w:eastAsia="it-IT"/>
              </w:rPr>
            </w:pPr>
          </w:p>
        </w:tc>
        <w:tc>
          <w:tcPr>
            <w:tcW w:w="0" w:type="auto"/>
            <w:tcBorders>
              <w:top w:val="nil"/>
              <w:bottom w:val="single" w:sz="4" w:space="0" w:color="auto"/>
            </w:tcBorders>
          </w:tcPr>
          <w:p w:rsidR="003C3009" w:rsidRPr="00024336" w:rsidRDefault="003C3009" w:rsidP="00192FE1">
            <w:pPr>
              <w:autoSpaceDE w:val="0"/>
              <w:autoSpaceDN w:val="0"/>
              <w:spacing w:line="240" w:lineRule="auto"/>
              <w:jc w:val="center"/>
              <w:rPr>
                <w:rFonts w:ascii="Palatino Linotype" w:eastAsia="SimSun" w:hAnsi="Palatino Linotype" w:cs="Arial"/>
                <w:color w:val="auto"/>
                <w:sz w:val="20"/>
                <w:szCs w:val="18"/>
                <w:lang w:val="en-GB" w:eastAsia="it-IT"/>
              </w:rPr>
            </w:pPr>
            <w:r w:rsidRPr="00024336">
              <w:rPr>
                <w:rFonts w:ascii="Palatino Linotype" w:eastAsia="SimSun" w:hAnsi="Palatino Linotype" w:cs="Arial"/>
                <w:color w:val="auto"/>
                <w:sz w:val="20"/>
                <w:szCs w:val="18"/>
                <w:lang w:val="en-GB" w:eastAsia="it-IT"/>
              </w:rPr>
              <w:t>Percentage</w:t>
            </w:r>
          </w:p>
        </w:tc>
        <w:tc>
          <w:tcPr>
            <w:tcW w:w="0" w:type="auto"/>
            <w:tcBorders>
              <w:top w:val="nil"/>
              <w:bottom w:val="single" w:sz="4" w:space="0" w:color="auto"/>
            </w:tcBorders>
          </w:tcPr>
          <w:p w:rsidR="003C3009" w:rsidRPr="00024336" w:rsidRDefault="003C3009" w:rsidP="00192FE1">
            <w:pPr>
              <w:autoSpaceDE w:val="0"/>
              <w:autoSpaceDN w:val="0"/>
              <w:spacing w:line="240" w:lineRule="auto"/>
              <w:jc w:val="center"/>
              <w:rPr>
                <w:rFonts w:ascii="Palatino Linotype" w:eastAsia="SimSun" w:hAnsi="Palatino Linotype" w:cs="Arial"/>
                <w:color w:val="auto"/>
                <w:sz w:val="20"/>
                <w:szCs w:val="18"/>
                <w:lang w:val="en-GB" w:eastAsia="it-IT"/>
              </w:rPr>
            </w:pPr>
            <w:r w:rsidRPr="00024336">
              <w:rPr>
                <w:rFonts w:ascii="Palatino Linotype" w:eastAsia="SimSun" w:hAnsi="Palatino Linotype" w:cs="Arial"/>
                <w:color w:val="auto"/>
                <w:sz w:val="20"/>
                <w:szCs w:val="18"/>
                <w:lang w:val="en-GB" w:eastAsia="it-IT"/>
              </w:rPr>
              <w:t>23.9%</w:t>
            </w:r>
          </w:p>
        </w:tc>
        <w:tc>
          <w:tcPr>
            <w:tcW w:w="0" w:type="auto"/>
            <w:tcBorders>
              <w:top w:val="nil"/>
              <w:bottom w:val="single" w:sz="4" w:space="0" w:color="auto"/>
            </w:tcBorders>
          </w:tcPr>
          <w:p w:rsidR="003C3009" w:rsidRPr="00024336" w:rsidRDefault="003C3009" w:rsidP="00192FE1">
            <w:pPr>
              <w:autoSpaceDE w:val="0"/>
              <w:autoSpaceDN w:val="0"/>
              <w:spacing w:line="240" w:lineRule="auto"/>
              <w:jc w:val="center"/>
              <w:rPr>
                <w:rFonts w:ascii="Palatino Linotype" w:eastAsia="SimSun" w:hAnsi="Palatino Linotype" w:cs="Arial"/>
                <w:color w:val="auto"/>
                <w:sz w:val="20"/>
                <w:szCs w:val="18"/>
                <w:lang w:val="en-GB" w:eastAsia="it-IT"/>
              </w:rPr>
            </w:pPr>
            <w:r w:rsidRPr="00024336">
              <w:rPr>
                <w:rFonts w:ascii="Palatino Linotype" w:eastAsia="SimSun" w:hAnsi="Palatino Linotype" w:cs="Arial"/>
                <w:color w:val="auto"/>
                <w:sz w:val="20"/>
                <w:szCs w:val="18"/>
                <w:lang w:val="en-GB" w:eastAsia="it-IT"/>
              </w:rPr>
              <w:t>33%</w:t>
            </w:r>
          </w:p>
        </w:tc>
        <w:tc>
          <w:tcPr>
            <w:tcW w:w="0" w:type="auto"/>
            <w:tcBorders>
              <w:top w:val="nil"/>
              <w:bottom w:val="single" w:sz="4" w:space="0" w:color="auto"/>
            </w:tcBorders>
          </w:tcPr>
          <w:p w:rsidR="003C3009" w:rsidRPr="00024336" w:rsidRDefault="003C3009" w:rsidP="00192FE1">
            <w:pPr>
              <w:autoSpaceDE w:val="0"/>
              <w:autoSpaceDN w:val="0"/>
              <w:spacing w:line="240" w:lineRule="auto"/>
              <w:jc w:val="center"/>
              <w:rPr>
                <w:rFonts w:ascii="Palatino Linotype" w:eastAsia="SimSun" w:hAnsi="Palatino Linotype" w:cs="Arial"/>
                <w:color w:val="auto"/>
                <w:sz w:val="20"/>
                <w:szCs w:val="18"/>
                <w:lang w:val="en-GB" w:eastAsia="it-IT"/>
              </w:rPr>
            </w:pPr>
            <w:r w:rsidRPr="00024336">
              <w:rPr>
                <w:rFonts w:ascii="Palatino Linotype" w:eastAsia="SimSun" w:hAnsi="Palatino Linotype" w:cs="Arial"/>
                <w:color w:val="auto"/>
                <w:sz w:val="20"/>
                <w:szCs w:val="18"/>
                <w:lang w:val="en-GB" w:eastAsia="it-IT"/>
              </w:rPr>
              <w:t>28.8%</w:t>
            </w:r>
          </w:p>
        </w:tc>
      </w:tr>
      <w:tr w:rsidR="00EC56C7" w:rsidRPr="00024336" w:rsidTr="00E44F73">
        <w:tc>
          <w:tcPr>
            <w:tcW w:w="0" w:type="auto"/>
            <w:vMerge/>
          </w:tcPr>
          <w:p w:rsidR="003C3009" w:rsidRPr="00024336" w:rsidRDefault="003C3009" w:rsidP="00192FE1">
            <w:pPr>
              <w:autoSpaceDE w:val="0"/>
              <w:autoSpaceDN w:val="0"/>
              <w:spacing w:line="240" w:lineRule="auto"/>
              <w:jc w:val="center"/>
              <w:rPr>
                <w:rFonts w:ascii="Palatino Linotype" w:eastAsia="SimSun" w:hAnsi="Palatino Linotype" w:cs="Arial"/>
                <w:color w:val="auto"/>
                <w:sz w:val="20"/>
                <w:szCs w:val="18"/>
                <w:lang w:val="en-GB" w:eastAsia="it-IT"/>
              </w:rPr>
            </w:pPr>
          </w:p>
        </w:tc>
        <w:tc>
          <w:tcPr>
            <w:tcW w:w="0" w:type="auto"/>
            <w:vMerge w:val="restart"/>
            <w:tcBorders>
              <w:top w:val="single" w:sz="4" w:space="0" w:color="auto"/>
            </w:tcBorders>
          </w:tcPr>
          <w:p w:rsidR="003C3009" w:rsidRPr="00024336" w:rsidRDefault="003C3009" w:rsidP="00192FE1">
            <w:pPr>
              <w:autoSpaceDE w:val="0"/>
              <w:autoSpaceDN w:val="0"/>
              <w:spacing w:line="240" w:lineRule="auto"/>
              <w:jc w:val="center"/>
              <w:rPr>
                <w:rFonts w:ascii="Palatino Linotype" w:eastAsia="SimSun" w:hAnsi="Palatino Linotype" w:cs="Arial"/>
                <w:color w:val="auto"/>
                <w:sz w:val="20"/>
                <w:szCs w:val="18"/>
                <w:lang w:val="en-GB" w:eastAsia="it-IT"/>
              </w:rPr>
            </w:pPr>
            <w:r w:rsidRPr="00024336">
              <w:rPr>
                <w:rFonts w:ascii="Palatino Linotype" w:eastAsia="SimSun" w:hAnsi="Palatino Linotype" w:cs="Arial"/>
                <w:color w:val="auto"/>
                <w:sz w:val="20"/>
                <w:szCs w:val="18"/>
                <w:lang w:val="en-GB" w:eastAsia="it-IT"/>
              </w:rPr>
              <w:t>Excellent</w:t>
            </w:r>
          </w:p>
        </w:tc>
        <w:tc>
          <w:tcPr>
            <w:tcW w:w="0" w:type="auto"/>
            <w:tcBorders>
              <w:top w:val="single" w:sz="4" w:space="0" w:color="auto"/>
            </w:tcBorders>
          </w:tcPr>
          <w:p w:rsidR="003C3009" w:rsidRPr="00024336" w:rsidRDefault="003C3009" w:rsidP="00192FE1">
            <w:pPr>
              <w:autoSpaceDE w:val="0"/>
              <w:autoSpaceDN w:val="0"/>
              <w:spacing w:line="240" w:lineRule="auto"/>
              <w:jc w:val="center"/>
              <w:rPr>
                <w:rFonts w:ascii="Palatino Linotype" w:eastAsia="SimSun" w:hAnsi="Palatino Linotype" w:cs="Arial"/>
                <w:color w:val="auto"/>
                <w:sz w:val="20"/>
                <w:szCs w:val="18"/>
                <w:lang w:val="en-GB" w:eastAsia="it-IT"/>
              </w:rPr>
            </w:pPr>
            <w:r w:rsidRPr="00024336">
              <w:rPr>
                <w:rFonts w:ascii="Palatino Linotype" w:eastAsia="SimSun" w:hAnsi="Palatino Linotype" w:cs="Arial"/>
                <w:color w:val="auto"/>
                <w:sz w:val="20"/>
                <w:szCs w:val="18"/>
                <w:lang w:val="en-GB" w:eastAsia="it-IT"/>
              </w:rPr>
              <w:t>Number of patients</w:t>
            </w:r>
          </w:p>
        </w:tc>
        <w:tc>
          <w:tcPr>
            <w:tcW w:w="0" w:type="auto"/>
            <w:tcBorders>
              <w:top w:val="single" w:sz="4" w:space="0" w:color="auto"/>
            </w:tcBorders>
          </w:tcPr>
          <w:p w:rsidR="003C3009" w:rsidRPr="00024336" w:rsidRDefault="003C3009" w:rsidP="00192FE1">
            <w:pPr>
              <w:autoSpaceDE w:val="0"/>
              <w:autoSpaceDN w:val="0"/>
              <w:spacing w:line="240" w:lineRule="auto"/>
              <w:jc w:val="center"/>
              <w:rPr>
                <w:rFonts w:ascii="Palatino Linotype" w:eastAsia="SimSun" w:hAnsi="Palatino Linotype" w:cs="Arial"/>
                <w:color w:val="auto"/>
                <w:sz w:val="20"/>
                <w:szCs w:val="18"/>
                <w:lang w:val="en-GB" w:eastAsia="it-IT"/>
              </w:rPr>
            </w:pPr>
            <w:r w:rsidRPr="00024336">
              <w:rPr>
                <w:rFonts w:ascii="Palatino Linotype" w:eastAsia="SimSun" w:hAnsi="Palatino Linotype" w:cs="Arial"/>
                <w:color w:val="auto"/>
                <w:sz w:val="20"/>
                <w:szCs w:val="18"/>
                <w:lang w:val="en-GB" w:eastAsia="it-IT"/>
              </w:rPr>
              <w:t>49</w:t>
            </w:r>
          </w:p>
        </w:tc>
        <w:tc>
          <w:tcPr>
            <w:tcW w:w="0" w:type="auto"/>
            <w:tcBorders>
              <w:top w:val="single" w:sz="4" w:space="0" w:color="auto"/>
            </w:tcBorders>
          </w:tcPr>
          <w:p w:rsidR="003C3009" w:rsidRPr="00024336" w:rsidRDefault="003C3009" w:rsidP="00192FE1">
            <w:pPr>
              <w:autoSpaceDE w:val="0"/>
              <w:autoSpaceDN w:val="0"/>
              <w:spacing w:line="240" w:lineRule="auto"/>
              <w:jc w:val="center"/>
              <w:rPr>
                <w:rFonts w:ascii="Palatino Linotype" w:eastAsia="SimSun" w:hAnsi="Palatino Linotype" w:cs="Arial"/>
                <w:color w:val="auto"/>
                <w:sz w:val="20"/>
                <w:szCs w:val="18"/>
                <w:lang w:val="en-GB" w:eastAsia="it-IT"/>
              </w:rPr>
            </w:pPr>
            <w:r w:rsidRPr="00024336">
              <w:rPr>
                <w:rFonts w:ascii="Palatino Linotype" w:eastAsia="SimSun" w:hAnsi="Palatino Linotype" w:cs="Arial"/>
                <w:color w:val="auto"/>
                <w:sz w:val="20"/>
                <w:szCs w:val="18"/>
                <w:lang w:val="en-GB" w:eastAsia="it-IT"/>
              </w:rPr>
              <w:t>45</w:t>
            </w:r>
          </w:p>
        </w:tc>
        <w:tc>
          <w:tcPr>
            <w:tcW w:w="0" w:type="auto"/>
            <w:tcBorders>
              <w:top w:val="single" w:sz="4" w:space="0" w:color="auto"/>
            </w:tcBorders>
          </w:tcPr>
          <w:p w:rsidR="003C3009" w:rsidRPr="00024336" w:rsidRDefault="003C3009" w:rsidP="00192FE1">
            <w:pPr>
              <w:autoSpaceDE w:val="0"/>
              <w:autoSpaceDN w:val="0"/>
              <w:spacing w:line="240" w:lineRule="auto"/>
              <w:jc w:val="center"/>
              <w:rPr>
                <w:rFonts w:ascii="Palatino Linotype" w:eastAsia="SimSun" w:hAnsi="Palatino Linotype" w:cs="Arial"/>
                <w:color w:val="auto"/>
                <w:sz w:val="20"/>
                <w:szCs w:val="18"/>
                <w:lang w:val="en-GB" w:eastAsia="it-IT"/>
              </w:rPr>
            </w:pPr>
            <w:r w:rsidRPr="00024336">
              <w:rPr>
                <w:rFonts w:ascii="Palatino Linotype" w:eastAsia="SimSun" w:hAnsi="Palatino Linotype" w:cs="Arial"/>
                <w:color w:val="auto"/>
                <w:sz w:val="20"/>
                <w:szCs w:val="18"/>
                <w:lang w:val="en-GB" w:eastAsia="it-IT"/>
              </w:rPr>
              <w:t>94</w:t>
            </w:r>
          </w:p>
        </w:tc>
      </w:tr>
      <w:tr w:rsidR="00EC56C7" w:rsidRPr="00024336" w:rsidTr="00E44F73">
        <w:tc>
          <w:tcPr>
            <w:tcW w:w="0" w:type="auto"/>
            <w:vMerge/>
          </w:tcPr>
          <w:p w:rsidR="003C3009" w:rsidRPr="00024336" w:rsidRDefault="003C3009" w:rsidP="00192FE1">
            <w:pPr>
              <w:autoSpaceDE w:val="0"/>
              <w:autoSpaceDN w:val="0"/>
              <w:spacing w:line="240" w:lineRule="auto"/>
              <w:jc w:val="center"/>
              <w:rPr>
                <w:rFonts w:ascii="Palatino Linotype" w:eastAsia="SimSun" w:hAnsi="Palatino Linotype" w:cs="Arial"/>
                <w:color w:val="auto"/>
                <w:sz w:val="20"/>
                <w:szCs w:val="18"/>
                <w:lang w:val="en-GB" w:eastAsia="it-IT"/>
              </w:rPr>
            </w:pPr>
          </w:p>
        </w:tc>
        <w:tc>
          <w:tcPr>
            <w:tcW w:w="0" w:type="auto"/>
            <w:vMerge/>
          </w:tcPr>
          <w:p w:rsidR="003C3009" w:rsidRPr="00024336" w:rsidRDefault="003C3009" w:rsidP="00192FE1">
            <w:pPr>
              <w:autoSpaceDE w:val="0"/>
              <w:autoSpaceDN w:val="0"/>
              <w:spacing w:line="240" w:lineRule="auto"/>
              <w:jc w:val="center"/>
              <w:rPr>
                <w:rFonts w:ascii="Palatino Linotype" w:eastAsia="SimSun" w:hAnsi="Palatino Linotype" w:cs="Arial"/>
                <w:color w:val="auto"/>
                <w:sz w:val="20"/>
                <w:szCs w:val="18"/>
                <w:lang w:val="en-GB" w:eastAsia="it-IT"/>
              </w:rPr>
            </w:pPr>
          </w:p>
        </w:tc>
        <w:tc>
          <w:tcPr>
            <w:tcW w:w="0" w:type="auto"/>
          </w:tcPr>
          <w:p w:rsidR="003C3009" w:rsidRPr="00024336" w:rsidRDefault="003C3009" w:rsidP="00192FE1">
            <w:pPr>
              <w:autoSpaceDE w:val="0"/>
              <w:autoSpaceDN w:val="0"/>
              <w:spacing w:line="240" w:lineRule="auto"/>
              <w:jc w:val="center"/>
              <w:rPr>
                <w:rFonts w:ascii="Palatino Linotype" w:eastAsia="SimSun" w:hAnsi="Palatino Linotype" w:cs="Arial"/>
                <w:color w:val="auto"/>
                <w:sz w:val="20"/>
                <w:szCs w:val="18"/>
                <w:lang w:val="en-GB" w:eastAsia="it-IT"/>
              </w:rPr>
            </w:pPr>
            <w:r w:rsidRPr="00024336">
              <w:rPr>
                <w:rFonts w:ascii="Palatino Linotype" w:eastAsia="SimSun" w:hAnsi="Palatino Linotype" w:cs="Arial"/>
                <w:color w:val="auto"/>
                <w:sz w:val="20"/>
                <w:szCs w:val="18"/>
                <w:lang w:val="en-GB" w:eastAsia="it-IT"/>
              </w:rPr>
              <w:t>Percentage</w:t>
            </w:r>
          </w:p>
        </w:tc>
        <w:tc>
          <w:tcPr>
            <w:tcW w:w="0" w:type="auto"/>
          </w:tcPr>
          <w:p w:rsidR="003C3009" w:rsidRPr="00024336" w:rsidRDefault="003C3009" w:rsidP="00192FE1">
            <w:pPr>
              <w:autoSpaceDE w:val="0"/>
              <w:autoSpaceDN w:val="0"/>
              <w:spacing w:line="240" w:lineRule="auto"/>
              <w:jc w:val="center"/>
              <w:rPr>
                <w:rFonts w:ascii="Palatino Linotype" w:eastAsia="SimSun" w:hAnsi="Palatino Linotype" w:cs="Arial"/>
                <w:color w:val="auto"/>
                <w:sz w:val="20"/>
                <w:szCs w:val="18"/>
                <w:lang w:val="en-GB" w:eastAsia="it-IT"/>
              </w:rPr>
            </w:pPr>
            <w:r w:rsidRPr="00024336">
              <w:rPr>
                <w:rFonts w:ascii="Palatino Linotype" w:eastAsia="SimSun" w:hAnsi="Palatino Linotype" w:cs="Arial"/>
                <w:color w:val="auto"/>
                <w:sz w:val="20"/>
                <w:szCs w:val="18"/>
                <w:lang w:val="en-GB" w:eastAsia="it-IT"/>
              </w:rPr>
              <w:t>73.1%</w:t>
            </w:r>
          </w:p>
        </w:tc>
        <w:tc>
          <w:tcPr>
            <w:tcW w:w="0" w:type="auto"/>
          </w:tcPr>
          <w:p w:rsidR="003C3009" w:rsidRPr="00024336" w:rsidRDefault="003C3009" w:rsidP="00192FE1">
            <w:pPr>
              <w:autoSpaceDE w:val="0"/>
              <w:autoSpaceDN w:val="0"/>
              <w:spacing w:line="240" w:lineRule="auto"/>
              <w:jc w:val="center"/>
              <w:rPr>
                <w:rFonts w:ascii="Palatino Linotype" w:eastAsia="SimSun" w:hAnsi="Palatino Linotype" w:cs="Arial"/>
                <w:color w:val="auto"/>
                <w:sz w:val="20"/>
                <w:szCs w:val="18"/>
                <w:lang w:val="en-GB" w:eastAsia="it-IT"/>
              </w:rPr>
            </w:pPr>
            <w:r w:rsidRPr="00024336">
              <w:rPr>
                <w:rFonts w:ascii="Palatino Linotype" w:eastAsia="SimSun" w:hAnsi="Palatino Linotype" w:cs="Arial"/>
                <w:color w:val="auto"/>
                <w:sz w:val="20"/>
                <w:szCs w:val="18"/>
                <w:lang w:val="en-GB" w:eastAsia="it-IT"/>
              </w:rPr>
              <w:t>49.5%</w:t>
            </w:r>
          </w:p>
        </w:tc>
        <w:tc>
          <w:tcPr>
            <w:tcW w:w="0" w:type="auto"/>
          </w:tcPr>
          <w:p w:rsidR="003C3009" w:rsidRPr="00024336" w:rsidRDefault="003C3009" w:rsidP="00192FE1">
            <w:pPr>
              <w:autoSpaceDE w:val="0"/>
              <w:autoSpaceDN w:val="0"/>
              <w:spacing w:line="240" w:lineRule="auto"/>
              <w:jc w:val="center"/>
              <w:rPr>
                <w:rFonts w:ascii="Palatino Linotype" w:eastAsia="SimSun" w:hAnsi="Palatino Linotype" w:cs="Arial"/>
                <w:color w:val="auto"/>
                <w:sz w:val="20"/>
                <w:szCs w:val="18"/>
                <w:lang w:val="en-GB" w:eastAsia="it-IT"/>
              </w:rPr>
            </w:pPr>
            <w:r w:rsidRPr="00024336">
              <w:rPr>
                <w:rFonts w:ascii="Palatino Linotype" w:eastAsia="SimSun" w:hAnsi="Palatino Linotype" w:cs="Arial"/>
                <w:color w:val="auto"/>
                <w:sz w:val="20"/>
                <w:szCs w:val="18"/>
                <w:lang w:val="en-GB" w:eastAsia="it-IT"/>
              </w:rPr>
              <w:t>59.4%</w:t>
            </w:r>
          </w:p>
        </w:tc>
      </w:tr>
    </w:tbl>
    <w:p w:rsidR="003C3009" w:rsidRPr="00024336" w:rsidRDefault="003C3009" w:rsidP="00E44F73">
      <w:pPr>
        <w:pStyle w:val="MDPI43tablefooter"/>
        <w:jc w:val="center"/>
        <w:rPr>
          <w:rFonts w:eastAsia="SimSun"/>
          <w:lang w:eastAsia="it-IT"/>
        </w:rPr>
      </w:pPr>
      <w:r w:rsidRPr="00024336">
        <w:rPr>
          <w:rFonts w:eastAsia="SimSun"/>
          <w:lang w:eastAsia="it-IT"/>
        </w:rPr>
        <w:t>Chi Square (</w:t>
      </w:r>
      <w:r w:rsidRPr="00024336">
        <w:rPr>
          <w:lang w:val="en-GB"/>
        </w:rPr>
        <w:t>X</w:t>
      </w:r>
      <w:r w:rsidRPr="00024336">
        <w:rPr>
          <w:vertAlign w:val="superscript"/>
          <w:lang w:val="en-GB"/>
        </w:rPr>
        <w:t>2</w:t>
      </w:r>
      <w:r w:rsidRPr="00024336">
        <w:rPr>
          <w:lang w:val="en-GB"/>
        </w:rPr>
        <w:t xml:space="preserve">) </w:t>
      </w:r>
      <w:r w:rsidRPr="00024336">
        <w:rPr>
          <w:rFonts w:eastAsia="SimSun"/>
          <w:lang w:eastAsia="it-IT"/>
        </w:rPr>
        <w:t>= 11.9</w:t>
      </w:r>
      <w:r w:rsidR="00E267EC" w:rsidRPr="00024336">
        <w:rPr>
          <w:rFonts w:eastAsia="SimSun"/>
          <w:lang w:eastAsia="it-IT"/>
        </w:rPr>
        <w:t>,</w:t>
      </w:r>
      <w:r w:rsidR="00363308" w:rsidRPr="00024336">
        <w:rPr>
          <w:rFonts w:eastAsia="SimSun"/>
          <w:i/>
          <w:lang w:eastAsia="it-IT"/>
        </w:rPr>
        <w:t>p</w:t>
      </w:r>
      <w:r w:rsidRPr="00024336">
        <w:rPr>
          <w:rFonts w:eastAsia="SimSun"/>
          <w:lang w:eastAsia="it-IT"/>
        </w:rPr>
        <w:t xml:space="preserve"> = 0.003.</w:t>
      </w:r>
    </w:p>
    <w:p w:rsidR="003C3009" w:rsidRPr="00024336" w:rsidRDefault="00E44F73" w:rsidP="00E44F73">
      <w:pPr>
        <w:pStyle w:val="MDPI41tablecaption"/>
        <w:rPr>
          <w:b/>
          <w:bCs/>
          <w:lang w:val="en-GB"/>
        </w:rPr>
      </w:pPr>
      <w:r w:rsidRPr="00024336">
        <w:rPr>
          <w:b/>
          <w:bCs/>
          <w:lang w:val="en-GB"/>
        </w:rPr>
        <w:t xml:space="preserve">Table 3. </w:t>
      </w:r>
      <w:r w:rsidR="003C3009" w:rsidRPr="00024336">
        <w:rPr>
          <w:lang w:val="en-GB"/>
        </w:rPr>
        <w:t>Adherence to GFD assessed through the questionnair</w:t>
      </w:r>
      <w:r w:rsidRPr="00024336">
        <w:rPr>
          <w:lang w:val="en-GB"/>
        </w:rPr>
        <w:t>e compared with serology (Anti-</w:t>
      </w:r>
      <w:r w:rsidR="003C3009" w:rsidRPr="00024336">
        <w:rPr>
          <w:lang w:val="en-GB"/>
        </w:rPr>
        <w:t>TG2) and dietary interview</w:t>
      </w:r>
      <w:r w:rsidRPr="00024336">
        <w:rPr>
          <w:lang w:val="en-GB"/>
        </w:rPr>
        <w:t>.</w:t>
      </w:r>
    </w:p>
    <w:tbl>
      <w:tblPr>
        <w:tblStyle w:val="MDPI41threelinetable"/>
        <w:tblW w:w="9024" w:type="dxa"/>
        <w:tblLook w:val="04A0"/>
      </w:tblPr>
      <w:tblGrid>
        <w:gridCol w:w="1248"/>
        <w:gridCol w:w="1998"/>
        <w:gridCol w:w="1058"/>
        <w:gridCol w:w="865"/>
        <w:gridCol w:w="1060"/>
        <w:gridCol w:w="865"/>
        <w:gridCol w:w="1065"/>
        <w:gridCol w:w="865"/>
      </w:tblGrid>
      <w:tr w:rsidR="009E2DED" w:rsidRPr="00024336" w:rsidTr="009C1290">
        <w:trPr>
          <w:cnfStyle w:val="100000000000"/>
        </w:trPr>
        <w:tc>
          <w:tcPr>
            <w:tcW w:w="0" w:type="auto"/>
            <w:vMerge w:val="restart"/>
          </w:tcPr>
          <w:p w:rsidR="003C3009" w:rsidRPr="00024336" w:rsidRDefault="003C3009" w:rsidP="00E44F73">
            <w:pPr>
              <w:pStyle w:val="MDPI31text"/>
              <w:autoSpaceDE w:val="0"/>
              <w:autoSpaceDN w:val="0"/>
              <w:spacing w:line="240" w:lineRule="auto"/>
              <w:ind w:firstLine="0"/>
              <w:jc w:val="center"/>
              <w:rPr>
                <w:color w:val="auto"/>
                <w:szCs w:val="18"/>
                <w:lang w:val="en-GB"/>
              </w:rPr>
            </w:pPr>
            <w:r w:rsidRPr="00024336">
              <w:rPr>
                <w:color w:val="auto"/>
                <w:szCs w:val="18"/>
                <w:lang w:val="en-GB"/>
              </w:rPr>
              <w:t>Adherence</w:t>
            </w:r>
          </w:p>
        </w:tc>
        <w:tc>
          <w:tcPr>
            <w:tcW w:w="1998" w:type="dxa"/>
          </w:tcPr>
          <w:p w:rsidR="003C3009" w:rsidRPr="00024336" w:rsidRDefault="003C3009" w:rsidP="00E44F73">
            <w:pPr>
              <w:pStyle w:val="MDPI31text"/>
              <w:autoSpaceDE w:val="0"/>
              <w:autoSpaceDN w:val="0"/>
              <w:spacing w:line="240" w:lineRule="auto"/>
              <w:ind w:firstLine="0"/>
              <w:jc w:val="center"/>
              <w:rPr>
                <w:color w:val="auto"/>
                <w:szCs w:val="18"/>
                <w:lang w:val="en-GB"/>
              </w:rPr>
            </w:pPr>
          </w:p>
        </w:tc>
        <w:tc>
          <w:tcPr>
            <w:tcW w:w="0" w:type="auto"/>
            <w:gridSpan w:val="2"/>
          </w:tcPr>
          <w:p w:rsidR="003C3009" w:rsidRPr="00024336" w:rsidRDefault="003C3009" w:rsidP="00E44F73">
            <w:pPr>
              <w:pStyle w:val="MDPI31text"/>
              <w:autoSpaceDE w:val="0"/>
              <w:autoSpaceDN w:val="0"/>
              <w:spacing w:line="240" w:lineRule="auto"/>
              <w:ind w:firstLine="0"/>
              <w:jc w:val="center"/>
              <w:rPr>
                <w:bCs/>
                <w:color w:val="auto"/>
                <w:szCs w:val="18"/>
                <w:lang w:val="en-GB"/>
              </w:rPr>
            </w:pPr>
            <w:r w:rsidRPr="00024336">
              <w:rPr>
                <w:bCs/>
                <w:color w:val="auto"/>
                <w:szCs w:val="18"/>
                <w:lang w:val="en-GB"/>
              </w:rPr>
              <w:t>Questionnaire</w:t>
            </w:r>
          </w:p>
        </w:tc>
        <w:tc>
          <w:tcPr>
            <w:tcW w:w="0" w:type="auto"/>
            <w:gridSpan w:val="2"/>
          </w:tcPr>
          <w:p w:rsidR="003C3009" w:rsidRPr="00024336" w:rsidRDefault="003C3009" w:rsidP="00E44F73">
            <w:pPr>
              <w:pStyle w:val="MDPI31text"/>
              <w:autoSpaceDE w:val="0"/>
              <w:autoSpaceDN w:val="0"/>
              <w:spacing w:line="240" w:lineRule="auto"/>
              <w:ind w:firstLine="0"/>
              <w:jc w:val="center"/>
              <w:rPr>
                <w:bCs/>
                <w:color w:val="auto"/>
                <w:szCs w:val="18"/>
                <w:lang w:val="en-GB"/>
              </w:rPr>
            </w:pPr>
            <w:r w:rsidRPr="00024336">
              <w:rPr>
                <w:bCs/>
                <w:color w:val="auto"/>
                <w:szCs w:val="18"/>
                <w:lang w:val="en-GB"/>
              </w:rPr>
              <w:t>Anti-TG2</w:t>
            </w:r>
          </w:p>
        </w:tc>
        <w:tc>
          <w:tcPr>
            <w:tcW w:w="0" w:type="auto"/>
            <w:gridSpan w:val="2"/>
          </w:tcPr>
          <w:p w:rsidR="003C3009" w:rsidRPr="00024336" w:rsidRDefault="003C3009" w:rsidP="00E44F73">
            <w:pPr>
              <w:pStyle w:val="MDPI31text"/>
              <w:autoSpaceDE w:val="0"/>
              <w:autoSpaceDN w:val="0"/>
              <w:spacing w:line="240" w:lineRule="auto"/>
              <w:ind w:firstLine="0"/>
              <w:jc w:val="center"/>
              <w:rPr>
                <w:bCs/>
                <w:color w:val="auto"/>
                <w:szCs w:val="18"/>
                <w:lang w:val="en-GB"/>
              </w:rPr>
            </w:pPr>
            <w:r w:rsidRPr="00024336">
              <w:rPr>
                <w:bCs/>
                <w:color w:val="auto"/>
                <w:szCs w:val="18"/>
                <w:lang w:val="en-GB"/>
              </w:rPr>
              <w:t xml:space="preserve">Dietary </w:t>
            </w:r>
            <w:r w:rsidR="00E44F73" w:rsidRPr="00024336">
              <w:rPr>
                <w:bCs/>
                <w:color w:val="auto"/>
                <w:szCs w:val="18"/>
                <w:lang w:val="en-GB"/>
              </w:rPr>
              <w:t>Interview</w:t>
            </w:r>
          </w:p>
        </w:tc>
      </w:tr>
      <w:tr w:rsidR="009E2DED" w:rsidRPr="00024336" w:rsidTr="009C1290">
        <w:tc>
          <w:tcPr>
            <w:tcW w:w="0" w:type="auto"/>
            <w:vMerge/>
          </w:tcPr>
          <w:p w:rsidR="003C3009" w:rsidRPr="00024336" w:rsidRDefault="003C3009" w:rsidP="00E44F73">
            <w:pPr>
              <w:pStyle w:val="MDPI31text"/>
              <w:autoSpaceDE w:val="0"/>
              <w:autoSpaceDN w:val="0"/>
              <w:spacing w:line="240" w:lineRule="auto"/>
              <w:ind w:firstLine="0"/>
              <w:jc w:val="center"/>
              <w:rPr>
                <w:color w:val="auto"/>
                <w:szCs w:val="18"/>
                <w:lang w:val="en-GB"/>
              </w:rPr>
            </w:pPr>
          </w:p>
        </w:tc>
        <w:tc>
          <w:tcPr>
            <w:tcW w:w="1998" w:type="dxa"/>
            <w:tcBorders>
              <w:bottom w:val="nil"/>
            </w:tcBorders>
          </w:tcPr>
          <w:p w:rsidR="003C3009" w:rsidRPr="00024336" w:rsidRDefault="003C3009" w:rsidP="00E44F73">
            <w:pPr>
              <w:pStyle w:val="MDPI31text"/>
              <w:autoSpaceDE w:val="0"/>
              <w:autoSpaceDN w:val="0"/>
              <w:spacing w:line="240" w:lineRule="auto"/>
              <w:ind w:firstLine="0"/>
              <w:jc w:val="center"/>
              <w:rPr>
                <w:color w:val="auto"/>
                <w:szCs w:val="18"/>
                <w:lang w:val="en-GB"/>
              </w:rPr>
            </w:pPr>
            <w:r w:rsidRPr="00024336">
              <w:rPr>
                <w:rFonts w:eastAsia="SimSun" w:cs="Arial"/>
                <w:color w:val="auto"/>
                <w:szCs w:val="18"/>
                <w:lang w:val="en-GB" w:eastAsia="it-IT"/>
              </w:rPr>
              <w:t>Number of patients</w:t>
            </w:r>
          </w:p>
        </w:tc>
        <w:tc>
          <w:tcPr>
            <w:tcW w:w="0" w:type="auto"/>
            <w:vMerge w:val="restart"/>
            <w:tcBorders>
              <w:bottom w:val="nil"/>
            </w:tcBorders>
          </w:tcPr>
          <w:p w:rsidR="003C3009" w:rsidRPr="00024336" w:rsidRDefault="003C3009" w:rsidP="00E44F73">
            <w:pPr>
              <w:pStyle w:val="MDPI31text"/>
              <w:autoSpaceDE w:val="0"/>
              <w:autoSpaceDN w:val="0"/>
              <w:spacing w:line="240" w:lineRule="auto"/>
              <w:ind w:firstLine="0"/>
              <w:jc w:val="center"/>
              <w:rPr>
                <w:color w:val="auto"/>
                <w:szCs w:val="18"/>
                <w:lang w:val="en-GB"/>
              </w:rPr>
            </w:pPr>
            <w:r w:rsidRPr="00024336">
              <w:rPr>
                <w:color w:val="auto"/>
                <w:szCs w:val="18"/>
                <w:lang w:val="en-GB"/>
              </w:rPr>
              <w:t>Low</w:t>
            </w:r>
          </w:p>
        </w:tc>
        <w:tc>
          <w:tcPr>
            <w:tcW w:w="0" w:type="auto"/>
            <w:tcBorders>
              <w:bottom w:val="nil"/>
            </w:tcBorders>
          </w:tcPr>
          <w:p w:rsidR="003C3009" w:rsidRPr="00024336" w:rsidRDefault="003C3009" w:rsidP="00E44F73">
            <w:pPr>
              <w:pStyle w:val="MDPI31text"/>
              <w:autoSpaceDE w:val="0"/>
              <w:autoSpaceDN w:val="0"/>
              <w:spacing w:line="240" w:lineRule="auto"/>
              <w:ind w:firstLine="0"/>
              <w:jc w:val="center"/>
              <w:rPr>
                <w:color w:val="auto"/>
                <w:szCs w:val="18"/>
                <w:lang w:val="en-GB"/>
              </w:rPr>
            </w:pPr>
            <w:r w:rsidRPr="00024336">
              <w:rPr>
                <w:color w:val="auto"/>
                <w:szCs w:val="18"/>
                <w:lang w:val="en-GB"/>
              </w:rPr>
              <w:t>19</w:t>
            </w:r>
          </w:p>
        </w:tc>
        <w:tc>
          <w:tcPr>
            <w:tcW w:w="0" w:type="auto"/>
            <w:vMerge w:val="restart"/>
          </w:tcPr>
          <w:p w:rsidR="003C3009" w:rsidRPr="00024336" w:rsidRDefault="003C3009" w:rsidP="00E44F73">
            <w:pPr>
              <w:pStyle w:val="MDPI31text"/>
              <w:autoSpaceDE w:val="0"/>
              <w:autoSpaceDN w:val="0"/>
              <w:spacing w:line="240" w:lineRule="auto"/>
              <w:ind w:firstLine="0"/>
              <w:jc w:val="center"/>
              <w:rPr>
                <w:color w:val="auto"/>
                <w:szCs w:val="18"/>
                <w:lang w:val="en-GB"/>
              </w:rPr>
            </w:pPr>
            <w:r w:rsidRPr="00024336">
              <w:rPr>
                <w:color w:val="auto"/>
                <w:szCs w:val="18"/>
                <w:lang w:val="en-GB"/>
              </w:rPr>
              <w:t>Positive</w:t>
            </w:r>
          </w:p>
        </w:tc>
        <w:tc>
          <w:tcPr>
            <w:tcW w:w="0" w:type="auto"/>
          </w:tcPr>
          <w:p w:rsidR="003C3009" w:rsidRPr="00024336" w:rsidRDefault="009E2DED" w:rsidP="00E44F73">
            <w:pPr>
              <w:pStyle w:val="MDPI31text"/>
              <w:autoSpaceDE w:val="0"/>
              <w:autoSpaceDN w:val="0"/>
              <w:spacing w:line="240" w:lineRule="auto"/>
              <w:ind w:firstLine="0"/>
              <w:jc w:val="center"/>
              <w:rPr>
                <w:color w:val="auto"/>
                <w:szCs w:val="18"/>
                <w:lang w:val="en-GB"/>
              </w:rPr>
            </w:pPr>
            <w:r w:rsidRPr="00024336">
              <w:rPr>
                <w:color w:val="auto"/>
                <w:szCs w:val="18"/>
                <w:lang w:val="en-GB"/>
              </w:rPr>
              <w:t>19</w:t>
            </w:r>
          </w:p>
        </w:tc>
        <w:tc>
          <w:tcPr>
            <w:tcW w:w="0" w:type="auto"/>
            <w:vMerge w:val="restart"/>
          </w:tcPr>
          <w:p w:rsidR="003C3009" w:rsidRPr="00024336" w:rsidRDefault="003C3009" w:rsidP="00E44F73">
            <w:pPr>
              <w:pStyle w:val="MDPI31text"/>
              <w:autoSpaceDE w:val="0"/>
              <w:autoSpaceDN w:val="0"/>
              <w:spacing w:line="240" w:lineRule="auto"/>
              <w:ind w:firstLine="0"/>
              <w:jc w:val="center"/>
              <w:rPr>
                <w:color w:val="auto"/>
                <w:szCs w:val="18"/>
                <w:lang w:val="en-GB"/>
              </w:rPr>
            </w:pPr>
            <w:r w:rsidRPr="00024336">
              <w:rPr>
                <w:color w:val="auto"/>
                <w:szCs w:val="18"/>
                <w:lang w:val="en-GB"/>
              </w:rPr>
              <w:t>Fair/Low</w:t>
            </w:r>
          </w:p>
        </w:tc>
        <w:tc>
          <w:tcPr>
            <w:tcW w:w="0" w:type="auto"/>
          </w:tcPr>
          <w:p w:rsidR="003C3009" w:rsidRPr="00024336" w:rsidRDefault="003C3009" w:rsidP="00E44F73">
            <w:pPr>
              <w:pStyle w:val="MDPI31text"/>
              <w:autoSpaceDE w:val="0"/>
              <w:autoSpaceDN w:val="0"/>
              <w:spacing w:line="240" w:lineRule="auto"/>
              <w:ind w:firstLine="0"/>
              <w:jc w:val="center"/>
              <w:rPr>
                <w:color w:val="auto"/>
                <w:szCs w:val="18"/>
                <w:lang w:val="en-GB"/>
              </w:rPr>
            </w:pPr>
            <w:r w:rsidRPr="00024336">
              <w:rPr>
                <w:color w:val="auto"/>
                <w:szCs w:val="18"/>
                <w:lang w:val="en-GB"/>
              </w:rPr>
              <w:t>2</w:t>
            </w:r>
          </w:p>
        </w:tc>
      </w:tr>
      <w:tr w:rsidR="009E2DED" w:rsidRPr="00024336" w:rsidTr="009C1290">
        <w:tc>
          <w:tcPr>
            <w:tcW w:w="0" w:type="auto"/>
            <w:vMerge/>
          </w:tcPr>
          <w:p w:rsidR="003C3009" w:rsidRPr="00024336" w:rsidRDefault="003C3009" w:rsidP="00E44F73">
            <w:pPr>
              <w:pStyle w:val="MDPI31text"/>
              <w:autoSpaceDE w:val="0"/>
              <w:autoSpaceDN w:val="0"/>
              <w:spacing w:line="240" w:lineRule="auto"/>
              <w:ind w:firstLine="0"/>
              <w:jc w:val="center"/>
              <w:rPr>
                <w:color w:val="auto"/>
                <w:szCs w:val="18"/>
                <w:lang w:val="en-GB"/>
              </w:rPr>
            </w:pPr>
          </w:p>
        </w:tc>
        <w:tc>
          <w:tcPr>
            <w:tcW w:w="1998" w:type="dxa"/>
            <w:tcBorders>
              <w:top w:val="nil"/>
              <w:bottom w:val="nil"/>
            </w:tcBorders>
          </w:tcPr>
          <w:p w:rsidR="003C3009" w:rsidRPr="00024336" w:rsidRDefault="003C3009" w:rsidP="00E44F73">
            <w:pPr>
              <w:pStyle w:val="MDPI31text"/>
              <w:autoSpaceDE w:val="0"/>
              <w:autoSpaceDN w:val="0"/>
              <w:spacing w:line="240" w:lineRule="auto"/>
              <w:ind w:firstLine="0"/>
              <w:jc w:val="center"/>
              <w:rPr>
                <w:color w:val="auto"/>
                <w:szCs w:val="18"/>
                <w:lang w:val="en-GB"/>
              </w:rPr>
            </w:pPr>
            <w:r w:rsidRPr="00024336">
              <w:rPr>
                <w:rFonts w:eastAsia="SimSun" w:cs="Arial"/>
                <w:color w:val="auto"/>
                <w:szCs w:val="18"/>
                <w:lang w:val="en-GB" w:eastAsia="it-IT"/>
              </w:rPr>
              <w:t>Percentage</w:t>
            </w:r>
          </w:p>
        </w:tc>
        <w:tc>
          <w:tcPr>
            <w:tcW w:w="0" w:type="auto"/>
            <w:vMerge/>
            <w:tcBorders>
              <w:top w:val="nil"/>
              <w:bottom w:val="nil"/>
            </w:tcBorders>
          </w:tcPr>
          <w:p w:rsidR="003C3009" w:rsidRPr="00024336" w:rsidRDefault="003C3009" w:rsidP="00E44F73">
            <w:pPr>
              <w:pStyle w:val="MDPI31text"/>
              <w:autoSpaceDE w:val="0"/>
              <w:autoSpaceDN w:val="0"/>
              <w:spacing w:line="240" w:lineRule="auto"/>
              <w:ind w:firstLine="0"/>
              <w:jc w:val="center"/>
              <w:rPr>
                <w:color w:val="auto"/>
                <w:szCs w:val="18"/>
                <w:lang w:val="en-GB"/>
              </w:rPr>
            </w:pPr>
          </w:p>
        </w:tc>
        <w:tc>
          <w:tcPr>
            <w:tcW w:w="0" w:type="auto"/>
            <w:tcBorders>
              <w:top w:val="nil"/>
              <w:bottom w:val="nil"/>
            </w:tcBorders>
          </w:tcPr>
          <w:p w:rsidR="003C3009" w:rsidRPr="00024336" w:rsidRDefault="003C3009" w:rsidP="00E44F73">
            <w:pPr>
              <w:pStyle w:val="MDPI31text"/>
              <w:autoSpaceDE w:val="0"/>
              <w:autoSpaceDN w:val="0"/>
              <w:spacing w:line="240" w:lineRule="auto"/>
              <w:ind w:firstLine="0"/>
              <w:jc w:val="center"/>
              <w:rPr>
                <w:color w:val="auto"/>
                <w:szCs w:val="18"/>
                <w:lang w:val="en-GB"/>
              </w:rPr>
            </w:pPr>
            <w:r w:rsidRPr="00024336">
              <w:rPr>
                <w:color w:val="auto"/>
                <w:szCs w:val="18"/>
                <w:lang w:val="en-GB"/>
              </w:rPr>
              <w:t>11.9%</w:t>
            </w:r>
          </w:p>
        </w:tc>
        <w:tc>
          <w:tcPr>
            <w:tcW w:w="0" w:type="auto"/>
            <w:vMerge/>
            <w:tcBorders>
              <w:bottom w:val="nil"/>
            </w:tcBorders>
          </w:tcPr>
          <w:p w:rsidR="003C3009" w:rsidRPr="00024336" w:rsidRDefault="003C3009" w:rsidP="00E44F73">
            <w:pPr>
              <w:pStyle w:val="MDPI31text"/>
              <w:autoSpaceDE w:val="0"/>
              <w:autoSpaceDN w:val="0"/>
              <w:spacing w:line="240" w:lineRule="auto"/>
              <w:ind w:firstLine="0"/>
              <w:jc w:val="center"/>
              <w:rPr>
                <w:color w:val="auto"/>
                <w:szCs w:val="18"/>
                <w:lang w:val="en-GB"/>
              </w:rPr>
            </w:pPr>
          </w:p>
        </w:tc>
        <w:tc>
          <w:tcPr>
            <w:tcW w:w="0" w:type="auto"/>
            <w:tcBorders>
              <w:bottom w:val="nil"/>
            </w:tcBorders>
          </w:tcPr>
          <w:p w:rsidR="003C3009" w:rsidRPr="00024336" w:rsidRDefault="009E2DED" w:rsidP="00E44F73">
            <w:pPr>
              <w:pStyle w:val="MDPI31text"/>
              <w:autoSpaceDE w:val="0"/>
              <w:autoSpaceDN w:val="0"/>
              <w:spacing w:line="240" w:lineRule="auto"/>
              <w:ind w:firstLine="0"/>
              <w:jc w:val="center"/>
              <w:rPr>
                <w:color w:val="auto"/>
                <w:szCs w:val="18"/>
                <w:lang w:val="en-GB"/>
              </w:rPr>
            </w:pPr>
            <w:r w:rsidRPr="00024336">
              <w:rPr>
                <w:color w:val="auto"/>
                <w:szCs w:val="18"/>
                <w:lang w:val="en-GB"/>
              </w:rPr>
              <w:t>11.9</w:t>
            </w:r>
            <w:r w:rsidR="003C3009" w:rsidRPr="00024336">
              <w:rPr>
                <w:color w:val="auto"/>
                <w:szCs w:val="18"/>
                <w:lang w:val="en-GB"/>
              </w:rPr>
              <w:t>%</w:t>
            </w:r>
          </w:p>
        </w:tc>
        <w:tc>
          <w:tcPr>
            <w:tcW w:w="0" w:type="auto"/>
            <w:vMerge/>
            <w:tcBorders>
              <w:bottom w:val="nil"/>
            </w:tcBorders>
          </w:tcPr>
          <w:p w:rsidR="003C3009" w:rsidRPr="00024336" w:rsidRDefault="003C3009" w:rsidP="00E44F73">
            <w:pPr>
              <w:pStyle w:val="MDPI31text"/>
              <w:autoSpaceDE w:val="0"/>
              <w:autoSpaceDN w:val="0"/>
              <w:spacing w:line="240" w:lineRule="auto"/>
              <w:ind w:firstLine="0"/>
              <w:jc w:val="center"/>
              <w:rPr>
                <w:color w:val="auto"/>
                <w:szCs w:val="18"/>
                <w:lang w:val="en-GB"/>
              </w:rPr>
            </w:pPr>
          </w:p>
        </w:tc>
        <w:tc>
          <w:tcPr>
            <w:tcW w:w="0" w:type="auto"/>
            <w:tcBorders>
              <w:bottom w:val="nil"/>
            </w:tcBorders>
          </w:tcPr>
          <w:p w:rsidR="003C3009" w:rsidRPr="00024336" w:rsidRDefault="003C3009" w:rsidP="00E44F73">
            <w:pPr>
              <w:pStyle w:val="MDPI31text"/>
              <w:autoSpaceDE w:val="0"/>
              <w:autoSpaceDN w:val="0"/>
              <w:spacing w:line="240" w:lineRule="auto"/>
              <w:ind w:firstLine="0"/>
              <w:jc w:val="center"/>
              <w:rPr>
                <w:color w:val="auto"/>
                <w:szCs w:val="18"/>
                <w:lang w:val="en-GB"/>
              </w:rPr>
            </w:pPr>
            <w:r w:rsidRPr="00024336">
              <w:rPr>
                <w:color w:val="auto"/>
                <w:szCs w:val="18"/>
                <w:lang w:val="en-GB"/>
              </w:rPr>
              <w:t>5.4%</w:t>
            </w:r>
          </w:p>
        </w:tc>
      </w:tr>
      <w:tr w:rsidR="009E2DED" w:rsidRPr="00024336" w:rsidTr="009C1290">
        <w:tc>
          <w:tcPr>
            <w:tcW w:w="0" w:type="auto"/>
            <w:vMerge/>
          </w:tcPr>
          <w:p w:rsidR="003C3009" w:rsidRPr="00024336" w:rsidRDefault="003C3009" w:rsidP="00E44F73">
            <w:pPr>
              <w:pStyle w:val="MDPI31text"/>
              <w:autoSpaceDE w:val="0"/>
              <w:autoSpaceDN w:val="0"/>
              <w:spacing w:line="240" w:lineRule="auto"/>
              <w:ind w:firstLine="0"/>
              <w:jc w:val="center"/>
              <w:rPr>
                <w:color w:val="auto"/>
                <w:szCs w:val="18"/>
                <w:lang w:val="en-GB"/>
              </w:rPr>
            </w:pPr>
          </w:p>
        </w:tc>
        <w:tc>
          <w:tcPr>
            <w:tcW w:w="1998" w:type="dxa"/>
            <w:tcBorders>
              <w:top w:val="nil"/>
              <w:bottom w:val="nil"/>
            </w:tcBorders>
          </w:tcPr>
          <w:p w:rsidR="003C3009" w:rsidRPr="00024336" w:rsidRDefault="003C3009" w:rsidP="00E44F73">
            <w:pPr>
              <w:pStyle w:val="MDPI31text"/>
              <w:autoSpaceDE w:val="0"/>
              <w:autoSpaceDN w:val="0"/>
              <w:spacing w:line="240" w:lineRule="auto"/>
              <w:ind w:firstLine="0"/>
              <w:jc w:val="center"/>
              <w:rPr>
                <w:color w:val="auto"/>
                <w:szCs w:val="18"/>
                <w:lang w:val="en-GB"/>
              </w:rPr>
            </w:pPr>
            <w:r w:rsidRPr="00024336">
              <w:rPr>
                <w:rFonts w:eastAsia="SimSun" w:cs="Arial"/>
                <w:color w:val="auto"/>
                <w:szCs w:val="18"/>
                <w:lang w:val="en-GB" w:eastAsia="it-IT"/>
              </w:rPr>
              <w:t>Number of patients</w:t>
            </w:r>
          </w:p>
        </w:tc>
        <w:tc>
          <w:tcPr>
            <w:tcW w:w="0" w:type="auto"/>
            <w:vMerge w:val="restart"/>
            <w:tcBorders>
              <w:top w:val="nil"/>
              <w:bottom w:val="nil"/>
            </w:tcBorders>
          </w:tcPr>
          <w:p w:rsidR="003C3009" w:rsidRPr="00024336" w:rsidRDefault="003C3009" w:rsidP="00E44F73">
            <w:pPr>
              <w:pStyle w:val="MDPI31text"/>
              <w:autoSpaceDE w:val="0"/>
              <w:autoSpaceDN w:val="0"/>
              <w:spacing w:line="240" w:lineRule="auto"/>
              <w:ind w:firstLine="0"/>
              <w:jc w:val="center"/>
              <w:rPr>
                <w:color w:val="auto"/>
                <w:szCs w:val="18"/>
                <w:lang w:val="en-GB"/>
              </w:rPr>
            </w:pPr>
            <w:r w:rsidRPr="00024336">
              <w:rPr>
                <w:color w:val="auto"/>
                <w:szCs w:val="18"/>
                <w:lang w:val="en-GB"/>
              </w:rPr>
              <w:t>Fair</w:t>
            </w:r>
          </w:p>
        </w:tc>
        <w:tc>
          <w:tcPr>
            <w:tcW w:w="0" w:type="auto"/>
            <w:tcBorders>
              <w:top w:val="nil"/>
              <w:bottom w:val="nil"/>
            </w:tcBorders>
          </w:tcPr>
          <w:p w:rsidR="003C3009" w:rsidRPr="00024336" w:rsidRDefault="003C3009" w:rsidP="00E44F73">
            <w:pPr>
              <w:pStyle w:val="MDPI31text"/>
              <w:autoSpaceDE w:val="0"/>
              <w:autoSpaceDN w:val="0"/>
              <w:spacing w:line="240" w:lineRule="auto"/>
              <w:ind w:firstLine="0"/>
              <w:jc w:val="center"/>
              <w:rPr>
                <w:color w:val="auto"/>
                <w:szCs w:val="18"/>
                <w:lang w:val="en-GB"/>
              </w:rPr>
            </w:pPr>
            <w:r w:rsidRPr="00024336">
              <w:rPr>
                <w:color w:val="auto"/>
                <w:szCs w:val="18"/>
                <w:lang w:val="en-GB"/>
              </w:rPr>
              <w:t>46</w:t>
            </w:r>
          </w:p>
        </w:tc>
        <w:tc>
          <w:tcPr>
            <w:tcW w:w="0" w:type="auto"/>
            <w:vMerge/>
            <w:tcBorders>
              <w:top w:val="nil"/>
              <w:bottom w:val="nil"/>
            </w:tcBorders>
          </w:tcPr>
          <w:p w:rsidR="003C3009" w:rsidRPr="00024336" w:rsidRDefault="003C3009" w:rsidP="00E44F73">
            <w:pPr>
              <w:pStyle w:val="MDPI31text"/>
              <w:autoSpaceDE w:val="0"/>
              <w:autoSpaceDN w:val="0"/>
              <w:spacing w:line="240" w:lineRule="auto"/>
              <w:ind w:firstLine="0"/>
              <w:jc w:val="center"/>
              <w:rPr>
                <w:color w:val="auto"/>
                <w:szCs w:val="18"/>
                <w:lang w:val="en-GB"/>
              </w:rPr>
            </w:pPr>
          </w:p>
        </w:tc>
        <w:tc>
          <w:tcPr>
            <w:tcW w:w="0" w:type="auto"/>
            <w:vMerge w:val="restart"/>
            <w:tcBorders>
              <w:top w:val="nil"/>
              <w:bottom w:val="nil"/>
            </w:tcBorders>
          </w:tcPr>
          <w:p w:rsidR="003C3009" w:rsidRPr="00024336" w:rsidRDefault="003C3009" w:rsidP="00E44F73">
            <w:pPr>
              <w:pStyle w:val="MDPI31text"/>
              <w:autoSpaceDE w:val="0"/>
              <w:autoSpaceDN w:val="0"/>
              <w:spacing w:line="240" w:lineRule="auto"/>
              <w:ind w:firstLine="0"/>
              <w:jc w:val="center"/>
              <w:rPr>
                <w:color w:val="auto"/>
                <w:szCs w:val="18"/>
                <w:lang w:val="en-GB"/>
              </w:rPr>
            </w:pPr>
          </w:p>
        </w:tc>
        <w:tc>
          <w:tcPr>
            <w:tcW w:w="0" w:type="auto"/>
            <w:vMerge/>
            <w:tcBorders>
              <w:top w:val="nil"/>
              <w:bottom w:val="nil"/>
            </w:tcBorders>
          </w:tcPr>
          <w:p w:rsidR="003C3009" w:rsidRPr="00024336" w:rsidRDefault="003C3009" w:rsidP="00E44F73">
            <w:pPr>
              <w:pStyle w:val="MDPI31text"/>
              <w:autoSpaceDE w:val="0"/>
              <w:autoSpaceDN w:val="0"/>
              <w:spacing w:line="240" w:lineRule="auto"/>
              <w:ind w:firstLine="0"/>
              <w:jc w:val="center"/>
              <w:rPr>
                <w:color w:val="auto"/>
                <w:szCs w:val="18"/>
                <w:lang w:val="en-GB"/>
              </w:rPr>
            </w:pPr>
          </w:p>
        </w:tc>
        <w:tc>
          <w:tcPr>
            <w:tcW w:w="0" w:type="auto"/>
            <w:vMerge w:val="restart"/>
            <w:tcBorders>
              <w:top w:val="nil"/>
              <w:bottom w:val="nil"/>
            </w:tcBorders>
          </w:tcPr>
          <w:p w:rsidR="003C3009" w:rsidRPr="00024336" w:rsidRDefault="003C3009" w:rsidP="00E44F73">
            <w:pPr>
              <w:pStyle w:val="MDPI31text"/>
              <w:autoSpaceDE w:val="0"/>
              <w:autoSpaceDN w:val="0"/>
              <w:spacing w:line="240" w:lineRule="auto"/>
              <w:ind w:firstLine="0"/>
              <w:jc w:val="center"/>
              <w:rPr>
                <w:color w:val="auto"/>
                <w:szCs w:val="18"/>
                <w:lang w:val="en-GB"/>
              </w:rPr>
            </w:pPr>
          </w:p>
        </w:tc>
      </w:tr>
      <w:tr w:rsidR="009E2DED" w:rsidRPr="00024336" w:rsidTr="009C1290">
        <w:tc>
          <w:tcPr>
            <w:tcW w:w="0" w:type="auto"/>
            <w:vMerge/>
          </w:tcPr>
          <w:p w:rsidR="003C3009" w:rsidRPr="00024336" w:rsidRDefault="003C3009" w:rsidP="00E44F73">
            <w:pPr>
              <w:pStyle w:val="MDPI31text"/>
              <w:autoSpaceDE w:val="0"/>
              <w:autoSpaceDN w:val="0"/>
              <w:spacing w:line="240" w:lineRule="auto"/>
              <w:ind w:firstLine="0"/>
              <w:jc w:val="center"/>
              <w:rPr>
                <w:color w:val="auto"/>
                <w:szCs w:val="18"/>
                <w:lang w:val="en-GB"/>
              </w:rPr>
            </w:pPr>
          </w:p>
        </w:tc>
        <w:tc>
          <w:tcPr>
            <w:tcW w:w="1998" w:type="dxa"/>
            <w:tcBorders>
              <w:top w:val="nil"/>
              <w:bottom w:val="single" w:sz="4" w:space="0" w:color="auto"/>
            </w:tcBorders>
          </w:tcPr>
          <w:p w:rsidR="003C3009" w:rsidRPr="00024336" w:rsidRDefault="003C3009" w:rsidP="00E44F73">
            <w:pPr>
              <w:pStyle w:val="MDPI31text"/>
              <w:autoSpaceDE w:val="0"/>
              <w:autoSpaceDN w:val="0"/>
              <w:spacing w:line="240" w:lineRule="auto"/>
              <w:ind w:firstLine="0"/>
              <w:jc w:val="center"/>
              <w:rPr>
                <w:color w:val="auto"/>
                <w:szCs w:val="18"/>
                <w:lang w:val="en-GB"/>
              </w:rPr>
            </w:pPr>
            <w:r w:rsidRPr="00024336">
              <w:rPr>
                <w:rFonts w:eastAsia="SimSun" w:cs="Arial"/>
                <w:color w:val="auto"/>
                <w:szCs w:val="18"/>
                <w:lang w:val="en-GB" w:eastAsia="it-IT"/>
              </w:rPr>
              <w:t>Percentage</w:t>
            </w:r>
          </w:p>
        </w:tc>
        <w:tc>
          <w:tcPr>
            <w:tcW w:w="0" w:type="auto"/>
            <w:vMerge/>
            <w:tcBorders>
              <w:top w:val="nil"/>
              <w:bottom w:val="single" w:sz="4" w:space="0" w:color="auto"/>
            </w:tcBorders>
          </w:tcPr>
          <w:p w:rsidR="003C3009" w:rsidRPr="00024336" w:rsidRDefault="003C3009" w:rsidP="00E44F73">
            <w:pPr>
              <w:pStyle w:val="MDPI31text"/>
              <w:autoSpaceDE w:val="0"/>
              <w:autoSpaceDN w:val="0"/>
              <w:spacing w:line="240" w:lineRule="auto"/>
              <w:ind w:firstLine="0"/>
              <w:jc w:val="center"/>
              <w:rPr>
                <w:color w:val="auto"/>
                <w:szCs w:val="18"/>
                <w:lang w:val="en-GB"/>
              </w:rPr>
            </w:pPr>
          </w:p>
        </w:tc>
        <w:tc>
          <w:tcPr>
            <w:tcW w:w="0" w:type="auto"/>
            <w:tcBorders>
              <w:top w:val="nil"/>
              <w:bottom w:val="single" w:sz="4" w:space="0" w:color="auto"/>
            </w:tcBorders>
          </w:tcPr>
          <w:p w:rsidR="003C3009" w:rsidRPr="00024336" w:rsidRDefault="003C3009" w:rsidP="00E44F73">
            <w:pPr>
              <w:pStyle w:val="MDPI31text"/>
              <w:autoSpaceDE w:val="0"/>
              <w:autoSpaceDN w:val="0"/>
              <w:spacing w:line="240" w:lineRule="auto"/>
              <w:ind w:firstLine="0"/>
              <w:jc w:val="center"/>
              <w:rPr>
                <w:color w:val="auto"/>
                <w:szCs w:val="18"/>
                <w:lang w:val="en-GB"/>
              </w:rPr>
            </w:pPr>
            <w:r w:rsidRPr="00024336">
              <w:rPr>
                <w:color w:val="auto"/>
                <w:szCs w:val="18"/>
                <w:lang w:val="en-GB"/>
              </w:rPr>
              <w:t>28.8%</w:t>
            </w:r>
          </w:p>
        </w:tc>
        <w:tc>
          <w:tcPr>
            <w:tcW w:w="0" w:type="auto"/>
            <w:vMerge/>
            <w:tcBorders>
              <w:top w:val="nil"/>
              <w:bottom w:val="single" w:sz="4" w:space="0" w:color="auto"/>
            </w:tcBorders>
          </w:tcPr>
          <w:p w:rsidR="003C3009" w:rsidRPr="00024336" w:rsidRDefault="003C3009" w:rsidP="00E44F73">
            <w:pPr>
              <w:pStyle w:val="MDPI31text"/>
              <w:autoSpaceDE w:val="0"/>
              <w:autoSpaceDN w:val="0"/>
              <w:spacing w:line="240" w:lineRule="auto"/>
              <w:ind w:firstLine="0"/>
              <w:jc w:val="center"/>
              <w:rPr>
                <w:color w:val="auto"/>
                <w:szCs w:val="18"/>
                <w:lang w:val="en-GB"/>
              </w:rPr>
            </w:pPr>
          </w:p>
        </w:tc>
        <w:tc>
          <w:tcPr>
            <w:tcW w:w="0" w:type="auto"/>
            <w:vMerge/>
            <w:tcBorders>
              <w:top w:val="nil"/>
              <w:bottom w:val="single" w:sz="4" w:space="0" w:color="auto"/>
            </w:tcBorders>
          </w:tcPr>
          <w:p w:rsidR="003C3009" w:rsidRPr="00024336" w:rsidRDefault="003C3009" w:rsidP="00E44F73">
            <w:pPr>
              <w:pStyle w:val="MDPI31text"/>
              <w:autoSpaceDE w:val="0"/>
              <w:autoSpaceDN w:val="0"/>
              <w:spacing w:line="240" w:lineRule="auto"/>
              <w:ind w:firstLine="0"/>
              <w:jc w:val="center"/>
              <w:rPr>
                <w:color w:val="auto"/>
                <w:szCs w:val="18"/>
                <w:lang w:val="en-GB"/>
              </w:rPr>
            </w:pPr>
          </w:p>
        </w:tc>
        <w:tc>
          <w:tcPr>
            <w:tcW w:w="0" w:type="auto"/>
            <w:vMerge/>
            <w:tcBorders>
              <w:top w:val="nil"/>
              <w:bottom w:val="single" w:sz="4" w:space="0" w:color="auto"/>
            </w:tcBorders>
          </w:tcPr>
          <w:p w:rsidR="003C3009" w:rsidRPr="00024336" w:rsidRDefault="003C3009" w:rsidP="00E44F73">
            <w:pPr>
              <w:pStyle w:val="MDPI31text"/>
              <w:autoSpaceDE w:val="0"/>
              <w:autoSpaceDN w:val="0"/>
              <w:spacing w:line="240" w:lineRule="auto"/>
              <w:ind w:firstLine="0"/>
              <w:jc w:val="center"/>
              <w:rPr>
                <w:color w:val="auto"/>
                <w:szCs w:val="18"/>
                <w:lang w:val="en-GB"/>
              </w:rPr>
            </w:pPr>
          </w:p>
        </w:tc>
        <w:tc>
          <w:tcPr>
            <w:tcW w:w="0" w:type="auto"/>
            <w:vMerge/>
            <w:tcBorders>
              <w:top w:val="nil"/>
              <w:bottom w:val="single" w:sz="4" w:space="0" w:color="auto"/>
            </w:tcBorders>
          </w:tcPr>
          <w:p w:rsidR="003C3009" w:rsidRPr="00024336" w:rsidRDefault="003C3009" w:rsidP="00E44F73">
            <w:pPr>
              <w:pStyle w:val="MDPI31text"/>
              <w:autoSpaceDE w:val="0"/>
              <w:autoSpaceDN w:val="0"/>
              <w:spacing w:line="240" w:lineRule="auto"/>
              <w:ind w:firstLine="0"/>
              <w:jc w:val="center"/>
              <w:rPr>
                <w:color w:val="auto"/>
                <w:szCs w:val="18"/>
                <w:lang w:val="en-GB"/>
              </w:rPr>
            </w:pPr>
          </w:p>
        </w:tc>
      </w:tr>
      <w:tr w:rsidR="009E2DED" w:rsidRPr="00024336" w:rsidTr="009C1290">
        <w:tc>
          <w:tcPr>
            <w:tcW w:w="0" w:type="auto"/>
            <w:vMerge/>
          </w:tcPr>
          <w:p w:rsidR="003C3009" w:rsidRPr="00024336" w:rsidRDefault="003C3009" w:rsidP="00E44F73">
            <w:pPr>
              <w:pStyle w:val="MDPI31text"/>
              <w:autoSpaceDE w:val="0"/>
              <w:autoSpaceDN w:val="0"/>
              <w:spacing w:line="240" w:lineRule="auto"/>
              <w:ind w:firstLine="0"/>
              <w:jc w:val="center"/>
              <w:rPr>
                <w:color w:val="auto"/>
                <w:szCs w:val="18"/>
                <w:lang w:val="en-GB"/>
              </w:rPr>
            </w:pPr>
          </w:p>
        </w:tc>
        <w:tc>
          <w:tcPr>
            <w:tcW w:w="1998" w:type="dxa"/>
            <w:tcBorders>
              <w:top w:val="single" w:sz="4" w:space="0" w:color="auto"/>
              <w:bottom w:val="nil"/>
            </w:tcBorders>
          </w:tcPr>
          <w:p w:rsidR="003C3009" w:rsidRPr="00024336" w:rsidRDefault="003C3009" w:rsidP="00E44F73">
            <w:pPr>
              <w:pStyle w:val="MDPI31text"/>
              <w:autoSpaceDE w:val="0"/>
              <w:autoSpaceDN w:val="0"/>
              <w:spacing w:line="240" w:lineRule="auto"/>
              <w:ind w:firstLine="0"/>
              <w:jc w:val="center"/>
              <w:rPr>
                <w:color w:val="auto"/>
                <w:szCs w:val="18"/>
                <w:lang w:val="en-GB"/>
              </w:rPr>
            </w:pPr>
            <w:r w:rsidRPr="00024336">
              <w:rPr>
                <w:rFonts w:eastAsia="SimSun" w:cs="Arial"/>
                <w:color w:val="auto"/>
                <w:szCs w:val="18"/>
                <w:lang w:val="en-GB" w:eastAsia="it-IT"/>
              </w:rPr>
              <w:t>Number of patients</w:t>
            </w:r>
          </w:p>
        </w:tc>
        <w:tc>
          <w:tcPr>
            <w:tcW w:w="0" w:type="auto"/>
            <w:vMerge w:val="restart"/>
            <w:tcBorders>
              <w:top w:val="single" w:sz="4" w:space="0" w:color="auto"/>
              <w:bottom w:val="nil"/>
            </w:tcBorders>
          </w:tcPr>
          <w:p w:rsidR="003C3009" w:rsidRPr="00024336" w:rsidRDefault="003C3009" w:rsidP="00E44F73">
            <w:pPr>
              <w:pStyle w:val="MDPI31text"/>
              <w:autoSpaceDE w:val="0"/>
              <w:autoSpaceDN w:val="0"/>
              <w:spacing w:line="240" w:lineRule="auto"/>
              <w:ind w:firstLine="0"/>
              <w:jc w:val="center"/>
              <w:rPr>
                <w:color w:val="auto"/>
                <w:szCs w:val="18"/>
                <w:lang w:val="en-GB"/>
              </w:rPr>
            </w:pPr>
            <w:r w:rsidRPr="00024336">
              <w:rPr>
                <w:color w:val="auto"/>
                <w:szCs w:val="18"/>
                <w:lang w:val="en-GB"/>
              </w:rPr>
              <w:t>Excellent</w:t>
            </w:r>
          </w:p>
        </w:tc>
        <w:tc>
          <w:tcPr>
            <w:tcW w:w="0" w:type="auto"/>
            <w:tcBorders>
              <w:top w:val="single" w:sz="4" w:space="0" w:color="auto"/>
              <w:bottom w:val="nil"/>
            </w:tcBorders>
          </w:tcPr>
          <w:p w:rsidR="003C3009" w:rsidRPr="00024336" w:rsidRDefault="003C3009" w:rsidP="00E44F73">
            <w:pPr>
              <w:pStyle w:val="MDPI31text"/>
              <w:autoSpaceDE w:val="0"/>
              <w:autoSpaceDN w:val="0"/>
              <w:spacing w:line="240" w:lineRule="auto"/>
              <w:ind w:firstLine="0"/>
              <w:jc w:val="center"/>
              <w:rPr>
                <w:color w:val="auto"/>
                <w:szCs w:val="18"/>
                <w:lang w:val="en-GB"/>
              </w:rPr>
            </w:pPr>
            <w:r w:rsidRPr="00024336">
              <w:rPr>
                <w:color w:val="auto"/>
                <w:szCs w:val="18"/>
                <w:lang w:val="en-GB"/>
              </w:rPr>
              <w:t>95</w:t>
            </w:r>
          </w:p>
        </w:tc>
        <w:tc>
          <w:tcPr>
            <w:tcW w:w="0" w:type="auto"/>
            <w:vMerge w:val="restart"/>
            <w:tcBorders>
              <w:top w:val="single" w:sz="4" w:space="0" w:color="auto"/>
              <w:bottom w:val="nil"/>
            </w:tcBorders>
          </w:tcPr>
          <w:p w:rsidR="003C3009" w:rsidRPr="00024336" w:rsidRDefault="003C3009" w:rsidP="00E44F73">
            <w:pPr>
              <w:pStyle w:val="MDPI31text"/>
              <w:autoSpaceDE w:val="0"/>
              <w:autoSpaceDN w:val="0"/>
              <w:spacing w:line="240" w:lineRule="auto"/>
              <w:ind w:firstLine="0"/>
              <w:jc w:val="center"/>
              <w:rPr>
                <w:color w:val="auto"/>
                <w:szCs w:val="18"/>
                <w:lang w:val="en-GB"/>
              </w:rPr>
            </w:pPr>
            <w:r w:rsidRPr="00024336">
              <w:rPr>
                <w:color w:val="auto"/>
                <w:szCs w:val="18"/>
                <w:lang w:val="en-GB"/>
              </w:rPr>
              <w:t>Negative</w:t>
            </w:r>
          </w:p>
        </w:tc>
        <w:tc>
          <w:tcPr>
            <w:tcW w:w="0" w:type="auto"/>
            <w:tcBorders>
              <w:top w:val="single" w:sz="4" w:space="0" w:color="auto"/>
              <w:bottom w:val="nil"/>
            </w:tcBorders>
          </w:tcPr>
          <w:p w:rsidR="003C3009" w:rsidRPr="00024336" w:rsidRDefault="009E2DED" w:rsidP="00E44F73">
            <w:pPr>
              <w:pStyle w:val="MDPI31text"/>
              <w:autoSpaceDE w:val="0"/>
              <w:autoSpaceDN w:val="0"/>
              <w:spacing w:line="240" w:lineRule="auto"/>
              <w:ind w:firstLine="0"/>
              <w:jc w:val="center"/>
              <w:rPr>
                <w:color w:val="auto"/>
                <w:szCs w:val="18"/>
                <w:lang w:val="en-GB"/>
              </w:rPr>
            </w:pPr>
            <w:r w:rsidRPr="00024336">
              <w:rPr>
                <w:color w:val="auto"/>
                <w:szCs w:val="18"/>
                <w:lang w:val="en-GB"/>
              </w:rPr>
              <w:t>141</w:t>
            </w:r>
          </w:p>
        </w:tc>
        <w:tc>
          <w:tcPr>
            <w:tcW w:w="0" w:type="auto"/>
            <w:vMerge w:val="restart"/>
            <w:tcBorders>
              <w:top w:val="single" w:sz="4" w:space="0" w:color="auto"/>
              <w:bottom w:val="nil"/>
            </w:tcBorders>
          </w:tcPr>
          <w:p w:rsidR="003C3009" w:rsidRPr="00024336" w:rsidRDefault="003C3009" w:rsidP="00E44F73">
            <w:pPr>
              <w:pStyle w:val="MDPI31text"/>
              <w:autoSpaceDE w:val="0"/>
              <w:autoSpaceDN w:val="0"/>
              <w:spacing w:line="240" w:lineRule="auto"/>
              <w:ind w:firstLine="0"/>
              <w:jc w:val="center"/>
              <w:rPr>
                <w:color w:val="auto"/>
                <w:szCs w:val="18"/>
                <w:lang w:val="en-GB"/>
              </w:rPr>
            </w:pPr>
            <w:r w:rsidRPr="00024336">
              <w:rPr>
                <w:color w:val="auto"/>
                <w:szCs w:val="18"/>
                <w:lang w:val="en-GB"/>
              </w:rPr>
              <w:t>Excellent</w:t>
            </w:r>
          </w:p>
        </w:tc>
        <w:tc>
          <w:tcPr>
            <w:tcW w:w="0" w:type="auto"/>
            <w:tcBorders>
              <w:top w:val="single" w:sz="4" w:space="0" w:color="auto"/>
              <w:bottom w:val="nil"/>
            </w:tcBorders>
          </w:tcPr>
          <w:p w:rsidR="003C3009" w:rsidRPr="00024336" w:rsidRDefault="003C3009" w:rsidP="00E44F73">
            <w:pPr>
              <w:pStyle w:val="MDPI31text"/>
              <w:autoSpaceDE w:val="0"/>
              <w:autoSpaceDN w:val="0"/>
              <w:spacing w:line="240" w:lineRule="auto"/>
              <w:ind w:firstLine="0"/>
              <w:jc w:val="center"/>
              <w:rPr>
                <w:color w:val="auto"/>
                <w:szCs w:val="18"/>
                <w:lang w:val="en-GB"/>
              </w:rPr>
            </w:pPr>
            <w:r w:rsidRPr="00024336">
              <w:rPr>
                <w:color w:val="auto"/>
                <w:szCs w:val="18"/>
                <w:lang w:val="en-GB"/>
              </w:rPr>
              <w:t>35</w:t>
            </w:r>
          </w:p>
        </w:tc>
      </w:tr>
      <w:tr w:rsidR="009E2DED" w:rsidRPr="00024336" w:rsidTr="009C1290">
        <w:tc>
          <w:tcPr>
            <w:tcW w:w="0" w:type="auto"/>
            <w:vMerge/>
          </w:tcPr>
          <w:p w:rsidR="003C3009" w:rsidRPr="00024336" w:rsidRDefault="003C3009" w:rsidP="00E44F73">
            <w:pPr>
              <w:pStyle w:val="MDPI31text"/>
              <w:autoSpaceDE w:val="0"/>
              <w:autoSpaceDN w:val="0"/>
              <w:spacing w:line="240" w:lineRule="auto"/>
              <w:ind w:firstLine="0"/>
              <w:jc w:val="center"/>
              <w:rPr>
                <w:color w:val="auto"/>
                <w:szCs w:val="18"/>
                <w:lang w:val="en-GB"/>
              </w:rPr>
            </w:pPr>
          </w:p>
        </w:tc>
        <w:tc>
          <w:tcPr>
            <w:tcW w:w="1998" w:type="dxa"/>
            <w:tcBorders>
              <w:top w:val="nil"/>
              <w:bottom w:val="single" w:sz="4" w:space="0" w:color="auto"/>
            </w:tcBorders>
          </w:tcPr>
          <w:p w:rsidR="003C3009" w:rsidRPr="00024336" w:rsidRDefault="003C3009" w:rsidP="00E44F73">
            <w:pPr>
              <w:pStyle w:val="MDPI31text"/>
              <w:autoSpaceDE w:val="0"/>
              <w:autoSpaceDN w:val="0"/>
              <w:spacing w:line="240" w:lineRule="auto"/>
              <w:ind w:firstLine="0"/>
              <w:jc w:val="center"/>
              <w:rPr>
                <w:color w:val="auto"/>
                <w:szCs w:val="18"/>
                <w:lang w:val="en-GB"/>
              </w:rPr>
            </w:pPr>
            <w:r w:rsidRPr="00024336">
              <w:rPr>
                <w:rFonts w:eastAsia="SimSun" w:cs="Arial"/>
                <w:color w:val="auto"/>
                <w:szCs w:val="18"/>
                <w:lang w:val="en-GB" w:eastAsia="it-IT"/>
              </w:rPr>
              <w:t>Percentage</w:t>
            </w:r>
          </w:p>
        </w:tc>
        <w:tc>
          <w:tcPr>
            <w:tcW w:w="0" w:type="auto"/>
            <w:vMerge/>
            <w:tcBorders>
              <w:top w:val="nil"/>
              <w:bottom w:val="single" w:sz="4" w:space="0" w:color="auto"/>
            </w:tcBorders>
          </w:tcPr>
          <w:p w:rsidR="003C3009" w:rsidRPr="00024336" w:rsidRDefault="003C3009" w:rsidP="00E44F73">
            <w:pPr>
              <w:pStyle w:val="MDPI31text"/>
              <w:autoSpaceDE w:val="0"/>
              <w:autoSpaceDN w:val="0"/>
              <w:spacing w:line="240" w:lineRule="auto"/>
              <w:ind w:firstLine="0"/>
              <w:jc w:val="center"/>
              <w:rPr>
                <w:color w:val="auto"/>
                <w:szCs w:val="18"/>
                <w:lang w:val="en-GB"/>
              </w:rPr>
            </w:pPr>
          </w:p>
        </w:tc>
        <w:tc>
          <w:tcPr>
            <w:tcW w:w="0" w:type="auto"/>
            <w:tcBorders>
              <w:top w:val="nil"/>
              <w:bottom w:val="single" w:sz="4" w:space="0" w:color="auto"/>
            </w:tcBorders>
          </w:tcPr>
          <w:p w:rsidR="003C3009" w:rsidRPr="00024336" w:rsidRDefault="003C3009" w:rsidP="00E44F73">
            <w:pPr>
              <w:pStyle w:val="MDPI31text"/>
              <w:autoSpaceDE w:val="0"/>
              <w:autoSpaceDN w:val="0"/>
              <w:spacing w:line="240" w:lineRule="auto"/>
              <w:ind w:firstLine="0"/>
              <w:jc w:val="center"/>
              <w:rPr>
                <w:color w:val="auto"/>
                <w:szCs w:val="18"/>
                <w:lang w:val="en-GB"/>
              </w:rPr>
            </w:pPr>
            <w:r w:rsidRPr="00024336">
              <w:rPr>
                <w:color w:val="auto"/>
                <w:szCs w:val="18"/>
                <w:lang w:val="en-GB"/>
              </w:rPr>
              <w:t>59.4%</w:t>
            </w:r>
          </w:p>
        </w:tc>
        <w:tc>
          <w:tcPr>
            <w:tcW w:w="0" w:type="auto"/>
            <w:vMerge/>
            <w:tcBorders>
              <w:top w:val="nil"/>
              <w:bottom w:val="single" w:sz="4" w:space="0" w:color="auto"/>
            </w:tcBorders>
          </w:tcPr>
          <w:p w:rsidR="003C3009" w:rsidRPr="00024336" w:rsidRDefault="003C3009" w:rsidP="00E44F73">
            <w:pPr>
              <w:pStyle w:val="MDPI31text"/>
              <w:autoSpaceDE w:val="0"/>
              <w:autoSpaceDN w:val="0"/>
              <w:spacing w:line="240" w:lineRule="auto"/>
              <w:ind w:firstLine="0"/>
              <w:jc w:val="center"/>
              <w:rPr>
                <w:color w:val="auto"/>
                <w:szCs w:val="18"/>
                <w:lang w:val="en-GB"/>
              </w:rPr>
            </w:pPr>
          </w:p>
        </w:tc>
        <w:tc>
          <w:tcPr>
            <w:tcW w:w="0" w:type="auto"/>
            <w:tcBorders>
              <w:top w:val="nil"/>
              <w:bottom w:val="single" w:sz="4" w:space="0" w:color="auto"/>
            </w:tcBorders>
          </w:tcPr>
          <w:p w:rsidR="003C3009" w:rsidRPr="00024336" w:rsidRDefault="009E2DED" w:rsidP="00E44F73">
            <w:pPr>
              <w:pStyle w:val="MDPI31text"/>
              <w:autoSpaceDE w:val="0"/>
              <w:autoSpaceDN w:val="0"/>
              <w:spacing w:line="240" w:lineRule="auto"/>
              <w:ind w:firstLine="0"/>
              <w:jc w:val="center"/>
              <w:rPr>
                <w:color w:val="auto"/>
                <w:szCs w:val="18"/>
                <w:lang w:val="en-GB"/>
              </w:rPr>
            </w:pPr>
            <w:r w:rsidRPr="00024336">
              <w:rPr>
                <w:color w:val="auto"/>
                <w:szCs w:val="18"/>
                <w:lang w:val="en-GB"/>
              </w:rPr>
              <w:t>89.1</w:t>
            </w:r>
            <w:r w:rsidR="003C3009" w:rsidRPr="00024336">
              <w:rPr>
                <w:color w:val="auto"/>
                <w:szCs w:val="18"/>
                <w:lang w:val="en-GB"/>
              </w:rPr>
              <w:t>%</w:t>
            </w:r>
          </w:p>
        </w:tc>
        <w:tc>
          <w:tcPr>
            <w:tcW w:w="0" w:type="auto"/>
            <w:vMerge/>
            <w:tcBorders>
              <w:top w:val="nil"/>
              <w:bottom w:val="single" w:sz="4" w:space="0" w:color="auto"/>
            </w:tcBorders>
          </w:tcPr>
          <w:p w:rsidR="003C3009" w:rsidRPr="00024336" w:rsidRDefault="003C3009" w:rsidP="00E44F73">
            <w:pPr>
              <w:pStyle w:val="MDPI31text"/>
              <w:autoSpaceDE w:val="0"/>
              <w:autoSpaceDN w:val="0"/>
              <w:spacing w:line="240" w:lineRule="auto"/>
              <w:ind w:firstLine="0"/>
              <w:jc w:val="center"/>
              <w:rPr>
                <w:color w:val="auto"/>
                <w:szCs w:val="18"/>
                <w:lang w:val="en-GB"/>
              </w:rPr>
            </w:pPr>
          </w:p>
        </w:tc>
        <w:tc>
          <w:tcPr>
            <w:tcW w:w="0" w:type="auto"/>
            <w:tcBorders>
              <w:top w:val="nil"/>
              <w:bottom w:val="single" w:sz="4" w:space="0" w:color="auto"/>
            </w:tcBorders>
          </w:tcPr>
          <w:p w:rsidR="003C3009" w:rsidRPr="00024336" w:rsidRDefault="003C3009" w:rsidP="00E44F73">
            <w:pPr>
              <w:pStyle w:val="MDPI31text"/>
              <w:autoSpaceDE w:val="0"/>
              <w:autoSpaceDN w:val="0"/>
              <w:spacing w:line="240" w:lineRule="auto"/>
              <w:ind w:firstLine="0"/>
              <w:jc w:val="center"/>
              <w:rPr>
                <w:color w:val="auto"/>
                <w:szCs w:val="18"/>
                <w:lang w:val="en-GB"/>
              </w:rPr>
            </w:pPr>
            <w:r w:rsidRPr="00024336">
              <w:rPr>
                <w:color w:val="auto"/>
                <w:szCs w:val="18"/>
                <w:lang w:val="en-GB"/>
              </w:rPr>
              <w:t>94.6%</w:t>
            </w:r>
          </w:p>
        </w:tc>
      </w:tr>
      <w:tr w:rsidR="009E2DED" w:rsidRPr="00024336" w:rsidTr="009C1290">
        <w:tc>
          <w:tcPr>
            <w:tcW w:w="0" w:type="auto"/>
            <w:vMerge/>
          </w:tcPr>
          <w:p w:rsidR="003C3009" w:rsidRPr="00024336" w:rsidRDefault="003C3009" w:rsidP="00E44F73">
            <w:pPr>
              <w:pStyle w:val="MDPI31text"/>
              <w:autoSpaceDE w:val="0"/>
              <w:autoSpaceDN w:val="0"/>
              <w:spacing w:line="240" w:lineRule="auto"/>
              <w:ind w:firstLine="0"/>
              <w:jc w:val="center"/>
              <w:rPr>
                <w:color w:val="auto"/>
                <w:szCs w:val="18"/>
                <w:lang w:val="en-GB"/>
              </w:rPr>
            </w:pPr>
          </w:p>
        </w:tc>
        <w:tc>
          <w:tcPr>
            <w:tcW w:w="1998" w:type="dxa"/>
            <w:tcBorders>
              <w:top w:val="single" w:sz="4" w:space="0" w:color="auto"/>
            </w:tcBorders>
          </w:tcPr>
          <w:p w:rsidR="003C3009" w:rsidRPr="00024336" w:rsidRDefault="003C3009" w:rsidP="00E44F73">
            <w:pPr>
              <w:pStyle w:val="MDPI31text"/>
              <w:autoSpaceDE w:val="0"/>
              <w:autoSpaceDN w:val="0"/>
              <w:spacing w:line="240" w:lineRule="auto"/>
              <w:ind w:firstLine="0"/>
              <w:jc w:val="center"/>
              <w:rPr>
                <w:rFonts w:eastAsia="SimSun" w:cs="Arial"/>
                <w:color w:val="auto"/>
                <w:szCs w:val="18"/>
                <w:lang w:val="en-GB" w:eastAsia="it-IT"/>
              </w:rPr>
            </w:pPr>
            <w:r w:rsidRPr="00024336">
              <w:rPr>
                <w:rFonts w:eastAsia="SimSun" w:cs="Arial"/>
                <w:color w:val="auto"/>
                <w:szCs w:val="18"/>
                <w:lang w:val="en-GB" w:eastAsia="it-IT"/>
              </w:rPr>
              <w:t>Number of patients</w:t>
            </w:r>
          </w:p>
        </w:tc>
        <w:tc>
          <w:tcPr>
            <w:tcW w:w="0" w:type="auto"/>
            <w:vMerge w:val="restart"/>
            <w:tcBorders>
              <w:top w:val="single" w:sz="4" w:space="0" w:color="auto"/>
            </w:tcBorders>
          </w:tcPr>
          <w:p w:rsidR="003C3009" w:rsidRPr="00024336" w:rsidRDefault="003C3009" w:rsidP="00E44F73">
            <w:pPr>
              <w:pStyle w:val="MDPI31text"/>
              <w:autoSpaceDE w:val="0"/>
              <w:autoSpaceDN w:val="0"/>
              <w:spacing w:line="240" w:lineRule="auto"/>
              <w:ind w:firstLine="0"/>
              <w:jc w:val="center"/>
              <w:rPr>
                <w:color w:val="auto"/>
                <w:szCs w:val="18"/>
                <w:lang w:val="en-GB"/>
              </w:rPr>
            </w:pPr>
            <w:r w:rsidRPr="00024336">
              <w:rPr>
                <w:color w:val="auto"/>
                <w:szCs w:val="18"/>
                <w:lang w:val="en-GB"/>
              </w:rPr>
              <w:t>Total</w:t>
            </w:r>
          </w:p>
        </w:tc>
        <w:tc>
          <w:tcPr>
            <w:tcW w:w="0" w:type="auto"/>
            <w:tcBorders>
              <w:top w:val="single" w:sz="4" w:space="0" w:color="auto"/>
            </w:tcBorders>
          </w:tcPr>
          <w:p w:rsidR="003C3009" w:rsidRPr="00024336" w:rsidRDefault="003C3009" w:rsidP="00E44F73">
            <w:pPr>
              <w:pStyle w:val="MDPI31text"/>
              <w:autoSpaceDE w:val="0"/>
              <w:autoSpaceDN w:val="0"/>
              <w:spacing w:line="240" w:lineRule="auto"/>
              <w:ind w:firstLine="0"/>
              <w:jc w:val="center"/>
              <w:rPr>
                <w:color w:val="auto"/>
                <w:szCs w:val="18"/>
                <w:lang w:val="en-GB"/>
              </w:rPr>
            </w:pPr>
            <w:r w:rsidRPr="00024336">
              <w:rPr>
                <w:color w:val="auto"/>
                <w:szCs w:val="18"/>
                <w:lang w:val="en-GB"/>
              </w:rPr>
              <w:t>160</w:t>
            </w:r>
          </w:p>
        </w:tc>
        <w:tc>
          <w:tcPr>
            <w:tcW w:w="0" w:type="auto"/>
            <w:vMerge w:val="restart"/>
            <w:tcBorders>
              <w:top w:val="single" w:sz="4" w:space="0" w:color="auto"/>
            </w:tcBorders>
          </w:tcPr>
          <w:p w:rsidR="003C3009" w:rsidRPr="00024336" w:rsidRDefault="003C3009" w:rsidP="00E44F73">
            <w:pPr>
              <w:pStyle w:val="MDPI31text"/>
              <w:autoSpaceDE w:val="0"/>
              <w:autoSpaceDN w:val="0"/>
              <w:spacing w:line="240" w:lineRule="auto"/>
              <w:ind w:firstLine="0"/>
              <w:jc w:val="center"/>
              <w:rPr>
                <w:color w:val="auto"/>
                <w:szCs w:val="18"/>
                <w:lang w:val="en-GB"/>
              </w:rPr>
            </w:pPr>
            <w:r w:rsidRPr="00024336">
              <w:rPr>
                <w:color w:val="auto"/>
                <w:szCs w:val="18"/>
                <w:lang w:val="en-GB"/>
              </w:rPr>
              <w:t>Total</w:t>
            </w:r>
          </w:p>
        </w:tc>
        <w:tc>
          <w:tcPr>
            <w:tcW w:w="0" w:type="auto"/>
            <w:tcBorders>
              <w:top w:val="single" w:sz="4" w:space="0" w:color="auto"/>
            </w:tcBorders>
          </w:tcPr>
          <w:p w:rsidR="003C3009" w:rsidRPr="00024336" w:rsidRDefault="003C3009" w:rsidP="00E44F73">
            <w:pPr>
              <w:pStyle w:val="MDPI31text"/>
              <w:autoSpaceDE w:val="0"/>
              <w:autoSpaceDN w:val="0"/>
              <w:spacing w:line="240" w:lineRule="auto"/>
              <w:ind w:firstLine="0"/>
              <w:jc w:val="center"/>
              <w:rPr>
                <w:color w:val="auto"/>
                <w:szCs w:val="18"/>
                <w:lang w:val="en-GB"/>
              </w:rPr>
            </w:pPr>
            <w:r w:rsidRPr="00024336">
              <w:rPr>
                <w:color w:val="auto"/>
                <w:szCs w:val="18"/>
                <w:lang w:val="en-GB"/>
              </w:rPr>
              <w:t>160</w:t>
            </w:r>
          </w:p>
        </w:tc>
        <w:tc>
          <w:tcPr>
            <w:tcW w:w="0" w:type="auto"/>
            <w:vMerge w:val="restart"/>
            <w:tcBorders>
              <w:top w:val="single" w:sz="4" w:space="0" w:color="auto"/>
            </w:tcBorders>
          </w:tcPr>
          <w:p w:rsidR="003C3009" w:rsidRPr="00024336" w:rsidRDefault="003C3009" w:rsidP="00E44F73">
            <w:pPr>
              <w:pStyle w:val="MDPI31text"/>
              <w:autoSpaceDE w:val="0"/>
              <w:autoSpaceDN w:val="0"/>
              <w:spacing w:line="240" w:lineRule="auto"/>
              <w:ind w:firstLine="0"/>
              <w:jc w:val="center"/>
              <w:rPr>
                <w:color w:val="auto"/>
                <w:szCs w:val="18"/>
                <w:lang w:val="en-GB"/>
              </w:rPr>
            </w:pPr>
            <w:r w:rsidRPr="00024336">
              <w:rPr>
                <w:color w:val="auto"/>
                <w:szCs w:val="18"/>
                <w:lang w:val="en-GB"/>
              </w:rPr>
              <w:t>Total</w:t>
            </w:r>
          </w:p>
        </w:tc>
        <w:tc>
          <w:tcPr>
            <w:tcW w:w="0" w:type="auto"/>
            <w:tcBorders>
              <w:top w:val="single" w:sz="4" w:space="0" w:color="auto"/>
            </w:tcBorders>
          </w:tcPr>
          <w:p w:rsidR="003C3009" w:rsidRPr="00024336" w:rsidRDefault="003C3009" w:rsidP="00E44F73">
            <w:pPr>
              <w:pStyle w:val="MDPI31text"/>
              <w:autoSpaceDE w:val="0"/>
              <w:autoSpaceDN w:val="0"/>
              <w:spacing w:line="240" w:lineRule="auto"/>
              <w:ind w:firstLine="0"/>
              <w:jc w:val="center"/>
              <w:rPr>
                <w:color w:val="auto"/>
                <w:szCs w:val="18"/>
                <w:lang w:val="en-GB"/>
              </w:rPr>
            </w:pPr>
            <w:r w:rsidRPr="00024336">
              <w:rPr>
                <w:color w:val="auto"/>
                <w:szCs w:val="18"/>
                <w:lang w:val="en-GB"/>
              </w:rPr>
              <w:t>37</w:t>
            </w:r>
          </w:p>
        </w:tc>
      </w:tr>
      <w:tr w:rsidR="009E2DED" w:rsidRPr="00024336" w:rsidTr="009C1290">
        <w:tc>
          <w:tcPr>
            <w:tcW w:w="0" w:type="auto"/>
            <w:vMerge/>
          </w:tcPr>
          <w:p w:rsidR="003C3009" w:rsidRPr="00024336" w:rsidRDefault="003C3009" w:rsidP="00E44F73">
            <w:pPr>
              <w:pStyle w:val="MDPI31text"/>
              <w:autoSpaceDE w:val="0"/>
              <w:autoSpaceDN w:val="0"/>
              <w:spacing w:line="240" w:lineRule="auto"/>
              <w:ind w:firstLine="0"/>
              <w:jc w:val="center"/>
              <w:rPr>
                <w:color w:val="auto"/>
                <w:szCs w:val="18"/>
                <w:lang w:val="en-GB"/>
              </w:rPr>
            </w:pPr>
          </w:p>
        </w:tc>
        <w:tc>
          <w:tcPr>
            <w:tcW w:w="1998" w:type="dxa"/>
          </w:tcPr>
          <w:p w:rsidR="003C3009" w:rsidRPr="00024336" w:rsidRDefault="003C3009" w:rsidP="00E44F73">
            <w:pPr>
              <w:pStyle w:val="MDPI31text"/>
              <w:autoSpaceDE w:val="0"/>
              <w:autoSpaceDN w:val="0"/>
              <w:spacing w:line="240" w:lineRule="auto"/>
              <w:ind w:firstLine="0"/>
              <w:jc w:val="center"/>
              <w:rPr>
                <w:rFonts w:eastAsia="SimSun" w:cs="Arial"/>
                <w:color w:val="auto"/>
                <w:szCs w:val="18"/>
                <w:lang w:val="en-GB" w:eastAsia="it-IT"/>
              </w:rPr>
            </w:pPr>
            <w:r w:rsidRPr="00024336">
              <w:rPr>
                <w:rFonts w:eastAsia="SimSun" w:cs="Arial"/>
                <w:color w:val="auto"/>
                <w:szCs w:val="18"/>
                <w:lang w:val="en-GB" w:eastAsia="it-IT"/>
              </w:rPr>
              <w:t>Percentage</w:t>
            </w:r>
          </w:p>
        </w:tc>
        <w:tc>
          <w:tcPr>
            <w:tcW w:w="0" w:type="auto"/>
            <w:vMerge/>
          </w:tcPr>
          <w:p w:rsidR="003C3009" w:rsidRPr="00024336" w:rsidRDefault="003C3009" w:rsidP="00E44F73">
            <w:pPr>
              <w:pStyle w:val="MDPI31text"/>
              <w:autoSpaceDE w:val="0"/>
              <w:autoSpaceDN w:val="0"/>
              <w:spacing w:line="240" w:lineRule="auto"/>
              <w:ind w:firstLine="0"/>
              <w:jc w:val="center"/>
              <w:rPr>
                <w:color w:val="auto"/>
                <w:szCs w:val="18"/>
                <w:lang w:val="en-GB"/>
              </w:rPr>
            </w:pPr>
          </w:p>
        </w:tc>
        <w:tc>
          <w:tcPr>
            <w:tcW w:w="0" w:type="auto"/>
          </w:tcPr>
          <w:p w:rsidR="003C3009" w:rsidRPr="00024336" w:rsidRDefault="003C3009" w:rsidP="00E44F73">
            <w:pPr>
              <w:pStyle w:val="MDPI31text"/>
              <w:autoSpaceDE w:val="0"/>
              <w:autoSpaceDN w:val="0"/>
              <w:spacing w:line="240" w:lineRule="auto"/>
              <w:ind w:firstLine="0"/>
              <w:jc w:val="center"/>
              <w:rPr>
                <w:color w:val="auto"/>
                <w:szCs w:val="18"/>
                <w:lang w:val="en-GB"/>
              </w:rPr>
            </w:pPr>
            <w:r w:rsidRPr="00024336">
              <w:rPr>
                <w:color w:val="auto"/>
                <w:szCs w:val="18"/>
                <w:lang w:val="en-GB"/>
              </w:rPr>
              <w:t>100.0%</w:t>
            </w:r>
          </w:p>
        </w:tc>
        <w:tc>
          <w:tcPr>
            <w:tcW w:w="0" w:type="auto"/>
            <w:vMerge/>
          </w:tcPr>
          <w:p w:rsidR="003C3009" w:rsidRPr="00024336" w:rsidRDefault="003C3009" w:rsidP="00E44F73">
            <w:pPr>
              <w:pStyle w:val="MDPI31text"/>
              <w:autoSpaceDE w:val="0"/>
              <w:autoSpaceDN w:val="0"/>
              <w:spacing w:line="240" w:lineRule="auto"/>
              <w:ind w:firstLine="0"/>
              <w:jc w:val="center"/>
              <w:rPr>
                <w:color w:val="auto"/>
                <w:szCs w:val="18"/>
                <w:lang w:val="en-GB"/>
              </w:rPr>
            </w:pPr>
          </w:p>
        </w:tc>
        <w:tc>
          <w:tcPr>
            <w:tcW w:w="0" w:type="auto"/>
          </w:tcPr>
          <w:p w:rsidR="003C3009" w:rsidRPr="00024336" w:rsidRDefault="003C3009" w:rsidP="00E44F73">
            <w:pPr>
              <w:pStyle w:val="MDPI31text"/>
              <w:autoSpaceDE w:val="0"/>
              <w:autoSpaceDN w:val="0"/>
              <w:spacing w:line="240" w:lineRule="auto"/>
              <w:ind w:firstLine="0"/>
              <w:jc w:val="center"/>
              <w:rPr>
                <w:color w:val="auto"/>
                <w:szCs w:val="18"/>
                <w:lang w:val="en-GB"/>
              </w:rPr>
            </w:pPr>
            <w:r w:rsidRPr="00024336">
              <w:rPr>
                <w:color w:val="auto"/>
                <w:szCs w:val="18"/>
                <w:lang w:val="en-GB"/>
              </w:rPr>
              <w:t>100.0%</w:t>
            </w:r>
          </w:p>
        </w:tc>
        <w:tc>
          <w:tcPr>
            <w:tcW w:w="0" w:type="auto"/>
            <w:vMerge/>
          </w:tcPr>
          <w:p w:rsidR="003C3009" w:rsidRPr="00024336" w:rsidRDefault="003C3009" w:rsidP="00E44F73">
            <w:pPr>
              <w:pStyle w:val="MDPI31text"/>
              <w:autoSpaceDE w:val="0"/>
              <w:autoSpaceDN w:val="0"/>
              <w:spacing w:line="240" w:lineRule="auto"/>
              <w:ind w:firstLine="0"/>
              <w:jc w:val="center"/>
              <w:rPr>
                <w:color w:val="auto"/>
                <w:szCs w:val="18"/>
                <w:lang w:val="en-GB"/>
              </w:rPr>
            </w:pPr>
          </w:p>
        </w:tc>
        <w:tc>
          <w:tcPr>
            <w:tcW w:w="0" w:type="auto"/>
          </w:tcPr>
          <w:p w:rsidR="003C3009" w:rsidRPr="00024336" w:rsidRDefault="003C3009" w:rsidP="00E44F73">
            <w:pPr>
              <w:pStyle w:val="MDPI31text"/>
              <w:autoSpaceDE w:val="0"/>
              <w:autoSpaceDN w:val="0"/>
              <w:spacing w:line="240" w:lineRule="auto"/>
              <w:ind w:firstLine="0"/>
              <w:jc w:val="center"/>
              <w:rPr>
                <w:color w:val="auto"/>
                <w:szCs w:val="18"/>
                <w:lang w:val="en-GB"/>
              </w:rPr>
            </w:pPr>
            <w:r w:rsidRPr="00024336">
              <w:rPr>
                <w:color w:val="auto"/>
                <w:szCs w:val="18"/>
                <w:lang w:val="en-GB"/>
              </w:rPr>
              <w:t>100.0%</w:t>
            </w:r>
          </w:p>
        </w:tc>
      </w:tr>
    </w:tbl>
    <w:p w:rsidR="003C3009" w:rsidRPr="00024336" w:rsidRDefault="00E44F73" w:rsidP="00E44F73">
      <w:pPr>
        <w:pStyle w:val="MDPI22heading2"/>
        <w:rPr>
          <w:lang w:val="en-GB"/>
        </w:rPr>
      </w:pPr>
      <w:r w:rsidRPr="00024336">
        <w:rPr>
          <w:lang w:val="en-GB"/>
        </w:rPr>
        <w:t xml:space="preserve">3.2. </w:t>
      </w:r>
      <w:r w:rsidR="003C3009" w:rsidRPr="00024336">
        <w:rPr>
          <w:lang w:val="en-GB"/>
        </w:rPr>
        <w:t xml:space="preserve">Factors </w:t>
      </w:r>
      <w:r w:rsidRPr="00024336">
        <w:rPr>
          <w:lang w:val="en-GB"/>
        </w:rPr>
        <w:t>Influencing Diet Adherence</w:t>
      </w:r>
    </w:p>
    <w:p w:rsidR="003C3009" w:rsidRPr="00024336" w:rsidRDefault="00E44F73" w:rsidP="00E44F73">
      <w:pPr>
        <w:pStyle w:val="MDPI23heading3"/>
        <w:rPr>
          <w:lang w:val="en-GB"/>
        </w:rPr>
      </w:pPr>
      <w:r w:rsidRPr="00024336">
        <w:rPr>
          <w:lang w:val="en-GB"/>
        </w:rPr>
        <w:t xml:space="preserve">3.2.1. </w:t>
      </w:r>
      <w:r w:rsidR="003C3009" w:rsidRPr="00024336">
        <w:rPr>
          <w:lang w:val="en-GB"/>
        </w:rPr>
        <w:t xml:space="preserve">Sociocultural </w:t>
      </w:r>
      <w:r w:rsidRPr="00024336">
        <w:rPr>
          <w:lang w:val="en-GB"/>
        </w:rPr>
        <w:t>Factors</w:t>
      </w:r>
    </w:p>
    <w:p w:rsidR="003C3009" w:rsidRPr="00024336" w:rsidRDefault="003C3009" w:rsidP="00E44F73">
      <w:pPr>
        <w:pStyle w:val="MDPI31text"/>
        <w:rPr>
          <w:b/>
          <w:lang w:val="en-GB"/>
        </w:rPr>
      </w:pPr>
      <w:r w:rsidRPr="00024336">
        <w:rPr>
          <w:lang w:val="en-GB"/>
        </w:rPr>
        <w:t>In order to assess whether diet adherence may be influenced by the socio-cultural environment, we correlated compliance with parental education and job. Data about parents were available for 136 of 160 patients. Of 136 mothers, 102 (75%) had lower school education while 34 (25%) received higher education (High school or University). Similarly, 103 (75.7%) of 136 fathers received lower school education, while 33 (24.3%) higher education. Surprisingly, we found an inverse correlation between the mothers’ education level and score of diet adherence (X</w:t>
      </w:r>
      <w:r w:rsidRPr="00024336">
        <w:rPr>
          <w:vertAlign w:val="superscript"/>
          <w:lang w:val="en-GB"/>
        </w:rPr>
        <w:t>2</w:t>
      </w:r>
      <w:r w:rsidR="003638EF" w:rsidRPr="00024336">
        <w:rPr>
          <w:lang w:val="en-GB"/>
        </w:rPr>
        <w:t>=</w:t>
      </w:r>
      <w:r w:rsidRPr="00024336">
        <w:rPr>
          <w:lang w:val="en-GB"/>
        </w:rPr>
        <w:t xml:space="preserve"> 6.86</w:t>
      </w:r>
      <w:r w:rsidR="00E267EC" w:rsidRPr="00024336">
        <w:rPr>
          <w:lang w:val="en-GB"/>
        </w:rPr>
        <w:t>,</w:t>
      </w:r>
      <w:r w:rsidR="00363308" w:rsidRPr="00024336">
        <w:rPr>
          <w:i/>
          <w:lang w:val="en-GB"/>
        </w:rPr>
        <w:t>p</w:t>
      </w:r>
      <w:r w:rsidR="003638EF" w:rsidRPr="00024336">
        <w:rPr>
          <w:i/>
          <w:lang w:val="en-GB"/>
        </w:rPr>
        <w:t>=</w:t>
      </w:r>
      <w:r w:rsidRPr="00024336">
        <w:rPr>
          <w:lang w:val="en-GB"/>
        </w:rPr>
        <w:t xml:space="preserve"> 0.032). In particular, the percentage of children with excellent adherence was 52.9% and 62.7%, in mothers with high and low education, respectively. When considering fathers, however, this relation was inverted (X</w:t>
      </w:r>
      <w:r w:rsidRPr="00024336">
        <w:rPr>
          <w:vertAlign w:val="superscript"/>
          <w:lang w:val="en-GB"/>
        </w:rPr>
        <w:t>2</w:t>
      </w:r>
      <w:r w:rsidR="003638EF" w:rsidRPr="00024336">
        <w:rPr>
          <w:lang w:val="en-GB"/>
        </w:rPr>
        <w:t>=</w:t>
      </w:r>
      <w:r w:rsidRPr="00024336">
        <w:rPr>
          <w:lang w:val="en-GB"/>
        </w:rPr>
        <w:t xml:space="preserve"> 5.52</w:t>
      </w:r>
      <w:r w:rsidR="00E267EC" w:rsidRPr="00024336">
        <w:rPr>
          <w:lang w:val="en-GB"/>
        </w:rPr>
        <w:t>,</w:t>
      </w:r>
      <w:r w:rsidR="00363308" w:rsidRPr="00024336">
        <w:rPr>
          <w:i/>
          <w:lang w:val="en-GB"/>
        </w:rPr>
        <w:t>p</w:t>
      </w:r>
      <w:r w:rsidR="003638EF" w:rsidRPr="00024336">
        <w:rPr>
          <w:i/>
          <w:lang w:val="en-GB"/>
        </w:rPr>
        <w:t>=</w:t>
      </w:r>
      <w:r w:rsidRPr="00024336">
        <w:rPr>
          <w:lang w:val="en-GB"/>
        </w:rPr>
        <w:t>0.066): excellent adherence was achieved in 66.7% and 58.3% of patients with fathers of high and low education level, respectively.</w:t>
      </w:r>
    </w:p>
    <w:p w:rsidR="003C3009" w:rsidRPr="00024336" w:rsidRDefault="003C3009" w:rsidP="003C3009">
      <w:pPr>
        <w:pStyle w:val="MDPI31text"/>
        <w:rPr>
          <w:b/>
          <w:color w:val="auto"/>
          <w:lang w:val="en-GB"/>
        </w:rPr>
      </w:pPr>
      <w:r w:rsidRPr="00024336">
        <w:rPr>
          <w:color w:val="auto"/>
          <w:lang w:val="en-GB"/>
        </w:rPr>
        <w:t>In order to investigate whether the poorer diet adherence achieved by children with highly educated mothers could be explained by the amount of time spent at home by “working mothers”, we analysed the relation between diet adherence and parents’ job. We did not observe a significative correlation between mothers’ or fathers’ job and children grade of adherence to GFD.</w:t>
      </w:r>
    </w:p>
    <w:p w:rsidR="003C3009" w:rsidRPr="00024336" w:rsidRDefault="00B055E4" w:rsidP="00B055E4">
      <w:pPr>
        <w:pStyle w:val="MDPI23heading3"/>
        <w:rPr>
          <w:lang w:val="en-GB"/>
        </w:rPr>
      </w:pPr>
      <w:r w:rsidRPr="00024336">
        <w:rPr>
          <w:lang w:val="en-GB"/>
        </w:rPr>
        <w:t xml:space="preserve">3.2.2. </w:t>
      </w:r>
      <w:r w:rsidR="003C3009" w:rsidRPr="00024336">
        <w:rPr>
          <w:lang w:val="en-GB"/>
        </w:rPr>
        <w:t xml:space="preserve">Factors </w:t>
      </w:r>
      <w:r w:rsidRPr="00024336">
        <w:rPr>
          <w:lang w:val="en-GB"/>
        </w:rPr>
        <w:t xml:space="preserve">Related </w:t>
      </w:r>
      <w:r w:rsidR="003C3009" w:rsidRPr="00024336">
        <w:rPr>
          <w:lang w:val="en-GB"/>
        </w:rPr>
        <w:t xml:space="preserve">to the </w:t>
      </w:r>
      <w:r w:rsidRPr="00024336">
        <w:rPr>
          <w:lang w:val="en-GB"/>
        </w:rPr>
        <w:t>Patient</w:t>
      </w:r>
    </w:p>
    <w:p w:rsidR="003C3009" w:rsidRPr="00024336" w:rsidRDefault="003C3009" w:rsidP="00A61228">
      <w:pPr>
        <w:pStyle w:val="MDPI23heading3"/>
        <w:outlineLvl w:val="3"/>
        <w:rPr>
          <w:lang w:val="en-GB"/>
        </w:rPr>
      </w:pPr>
      <w:r w:rsidRPr="00024336">
        <w:rPr>
          <w:lang w:val="en-GB"/>
        </w:rPr>
        <w:t>Gender and grade of education</w:t>
      </w:r>
    </w:p>
    <w:p w:rsidR="003C3009" w:rsidRPr="00024336" w:rsidRDefault="003C3009" w:rsidP="00B055E4">
      <w:pPr>
        <w:pStyle w:val="MDPI31text"/>
        <w:rPr>
          <w:b/>
          <w:lang w:val="en-GB"/>
        </w:rPr>
      </w:pPr>
      <w:r w:rsidRPr="00024336">
        <w:rPr>
          <w:lang w:val="en-GB"/>
        </w:rPr>
        <w:t>According to our analysis</w:t>
      </w:r>
      <w:r w:rsidR="0092347C" w:rsidRPr="00024336">
        <w:rPr>
          <w:lang w:val="en-GB"/>
        </w:rPr>
        <w:t>,</w:t>
      </w:r>
      <w:r w:rsidRPr="00024336">
        <w:rPr>
          <w:lang w:val="en-GB"/>
        </w:rPr>
        <w:t xml:space="preserve"> there was no statistically significant difference in diet adherence between the two genders.</w:t>
      </w:r>
    </w:p>
    <w:p w:rsidR="003C3009" w:rsidRPr="00024336" w:rsidRDefault="003C3009" w:rsidP="00B055E4">
      <w:pPr>
        <w:pStyle w:val="MDPI31text"/>
        <w:rPr>
          <w:lang w:val="en-GB"/>
        </w:rPr>
      </w:pPr>
      <w:r w:rsidRPr="00024336">
        <w:rPr>
          <w:lang w:val="en-GB"/>
        </w:rPr>
        <w:t>Adherence to GFD seems to be related to the grade of education, with excellent scores dropping from 70.7% at elementary school to 60.5% at middle school till 47.5% at high school (X</w:t>
      </w:r>
      <w:r w:rsidRPr="00024336">
        <w:rPr>
          <w:vertAlign w:val="superscript"/>
          <w:lang w:val="en-GB"/>
        </w:rPr>
        <w:t>2</w:t>
      </w:r>
      <w:r w:rsidR="00DE56FE" w:rsidRPr="00024336">
        <w:rPr>
          <w:lang w:val="en-GB"/>
        </w:rPr>
        <w:t>=</w:t>
      </w:r>
      <w:r w:rsidRPr="00024336">
        <w:rPr>
          <w:lang w:val="en-GB"/>
        </w:rPr>
        <w:t xml:space="preserve"> 6.57; </w:t>
      </w:r>
      <w:r w:rsidR="00363308" w:rsidRPr="00024336">
        <w:rPr>
          <w:i/>
          <w:lang w:val="en-GB"/>
        </w:rPr>
        <w:t>p</w:t>
      </w:r>
      <w:r w:rsidR="00DE56FE" w:rsidRPr="00024336">
        <w:rPr>
          <w:i/>
          <w:lang w:val="en-GB"/>
        </w:rPr>
        <w:t>=</w:t>
      </w:r>
      <w:r w:rsidRPr="00024336">
        <w:rPr>
          <w:lang w:val="en-GB"/>
        </w:rPr>
        <w:t xml:space="preserve"> 0.037). Obviously, the education grade is strongly related to age in our setting (Spearman rho = 0.927) (Table 4).</w:t>
      </w:r>
    </w:p>
    <w:p w:rsidR="003C3009" w:rsidRPr="00024336" w:rsidRDefault="009C1290" w:rsidP="009C1290">
      <w:pPr>
        <w:pStyle w:val="MDPI41tablecaption"/>
        <w:jc w:val="center"/>
        <w:rPr>
          <w:lang w:val="en-GB"/>
        </w:rPr>
      </w:pPr>
      <w:r w:rsidRPr="00024336">
        <w:rPr>
          <w:b/>
          <w:bCs/>
          <w:lang w:val="en-GB"/>
        </w:rPr>
        <w:t xml:space="preserve">Table 4. </w:t>
      </w:r>
      <w:r w:rsidR="003C3009" w:rsidRPr="00024336">
        <w:rPr>
          <w:lang w:val="en-GB"/>
        </w:rPr>
        <w:t>Adherence to GFD tends to decrease with increasing age.</w:t>
      </w:r>
    </w:p>
    <w:tbl>
      <w:tblPr>
        <w:tblStyle w:val="MDPI41threelinetable"/>
        <w:tblW w:w="0" w:type="auto"/>
        <w:tblLook w:val="0000"/>
      </w:tblPr>
      <w:tblGrid>
        <w:gridCol w:w="1182"/>
        <w:gridCol w:w="1027"/>
        <w:gridCol w:w="1947"/>
        <w:gridCol w:w="734"/>
        <w:gridCol w:w="734"/>
        <w:gridCol w:w="734"/>
        <w:gridCol w:w="734"/>
        <w:gridCol w:w="734"/>
        <w:gridCol w:w="734"/>
      </w:tblGrid>
      <w:tr w:rsidR="00EC56C7" w:rsidRPr="00024336" w:rsidTr="006B121A">
        <w:tc>
          <w:tcPr>
            <w:tcW w:w="0" w:type="auto"/>
            <w:gridSpan w:val="3"/>
            <w:vMerge w:val="restart"/>
            <w:tcBorders>
              <w:top w:val="single" w:sz="8" w:space="0" w:color="auto"/>
              <w:bottom w:val="nil"/>
            </w:tcBorders>
            <w:shd w:val="clear" w:color="auto" w:fill="auto"/>
          </w:tcPr>
          <w:p w:rsidR="003C3009" w:rsidRPr="00024336" w:rsidRDefault="003C3009" w:rsidP="006B121A">
            <w:pPr>
              <w:autoSpaceDE w:val="0"/>
              <w:autoSpaceDN w:val="0"/>
              <w:spacing w:line="240" w:lineRule="auto"/>
              <w:jc w:val="center"/>
              <w:rPr>
                <w:rFonts w:ascii="Palatino Linotype" w:eastAsia="SimSun" w:hAnsi="Palatino Linotype" w:cs="Arial"/>
                <w:color w:val="auto"/>
                <w:sz w:val="20"/>
                <w:szCs w:val="18"/>
                <w:lang w:val="en-GB" w:eastAsia="it-IT"/>
              </w:rPr>
            </w:pPr>
          </w:p>
        </w:tc>
        <w:tc>
          <w:tcPr>
            <w:tcW w:w="0" w:type="auto"/>
            <w:gridSpan w:val="5"/>
            <w:tcBorders>
              <w:top w:val="single" w:sz="8" w:space="0" w:color="auto"/>
              <w:bottom w:val="single" w:sz="4" w:space="0" w:color="auto"/>
            </w:tcBorders>
            <w:shd w:val="clear" w:color="auto" w:fill="auto"/>
          </w:tcPr>
          <w:p w:rsidR="003C3009" w:rsidRPr="00024336" w:rsidRDefault="003C3009" w:rsidP="006B121A">
            <w:pPr>
              <w:autoSpaceDE w:val="0"/>
              <w:autoSpaceDN w:val="0"/>
              <w:spacing w:line="240" w:lineRule="auto"/>
              <w:jc w:val="center"/>
              <w:rPr>
                <w:rFonts w:ascii="Palatino Linotype" w:eastAsia="SimSun" w:hAnsi="Palatino Linotype" w:cs="Arial"/>
                <w:b/>
                <w:bCs/>
                <w:color w:val="auto"/>
                <w:sz w:val="20"/>
                <w:szCs w:val="18"/>
                <w:lang w:val="en-GB" w:eastAsia="it-IT"/>
              </w:rPr>
            </w:pPr>
            <w:r w:rsidRPr="00024336">
              <w:rPr>
                <w:rFonts w:ascii="Palatino Linotype" w:eastAsia="SimSun" w:hAnsi="Palatino Linotype" w:cs="Arial"/>
                <w:b/>
                <w:bCs/>
                <w:color w:val="auto"/>
                <w:sz w:val="20"/>
                <w:szCs w:val="18"/>
                <w:lang w:val="en-GB" w:eastAsia="it-IT"/>
              </w:rPr>
              <w:t xml:space="preserve">Age at </w:t>
            </w:r>
            <w:r w:rsidR="00B055E4" w:rsidRPr="00024336">
              <w:rPr>
                <w:rFonts w:ascii="Palatino Linotype" w:eastAsia="SimSun" w:hAnsi="Palatino Linotype" w:cs="Arial"/>
                <w:b/>
                <w:bCs/>
                <w:color w:val="auto"/>
                <w:sz w:val="20"/>
                <w:szCs w:val="18"/>
                <w:lang w:val="en-GB" w:eastAsia="it-IT"/>
              </w:rPr>
              <w:t>Enquiry</w:t>
            </w:r>
          </w:p>
        </w:tc>
        <w:tc>
          <w:tcPr>
            <w:tcW w:w="0" w:type="auto"/>
            <w:vMerge w:val="restart"/>
            <w:tcBorders>
              <w:top w:val="single" w:sz="8" w:space="0" w:color="auto"/>
              <w:bottom w:val="single" w:sz="4" w:space="0" w:color="auto"/>
            </w:tcBorders>
            <w:shd w:val="clear" w:color="auto" w:fill="auto"/>
          </w:tcPr>
          <w:p w:rsidR="003C3009" w:rsidRPr="00024336" w:rsidRDefault="003C3009" w:rsidP="006B121A">
            <w:pPr>
              <w:autoSpaceDE w:val="0"/>
              <w:autoSpaceDN w:val="0"/>
              <w:spacing w:line="240" w:lineRule="auto"/>
              <w:jc w:val="center"/>
              <w:rPr>
                <w:rFonts w:ascii="Palatino Linotype" w:eastAsia="SimSun" w:hAnsi="Palatino Linotype" w:cs="Arial"/>
                <w:b/>
                <w:color w:val="auto"/>
                <w:sz w:val="20"/>
                <w:szCs w:val="18"/>
                <w:lang w:val="en-GB" w:eastAsia="it-IT"/>
              </w:rPr>
            </w:pPr>
            <w:r w:rsidRPr="00024336">
              <w:rPr>
                <w:rFonts w:ascii="Palatino Linotype" w:eastAsia="SimSun" w:hAnsi="Palatino Linotype" w:cs="Arial"/>
                <w:b/>
                <w:color w:val="auto"/>
                <w:sz w:val="20"/>
                <w:szCs w:val="18"/>
                <w:lang w:val="en-GB" w:eastAsia="it-IT"/>
              </w:rPr>
              <w:t>Total</w:t>
            </w:r>
          </w:p>
        </w:tc>
      </w:tr>
      <w:tr w:rsidR="00EC56C7" w:rsidRPr="00024336" w:rsidTr="006B121A">
        <w:tc>
          <w:tcPr>
            <w:tcW w:w="0" w:type="auto"/>
            <w:gridSpan w:val="3"/>
            <w:vMerge/>
            <w:tcBorders>
              <w:top w:val="nil"/>
              <w:bottom w:val="single" w:sz="4" w:space="0" w:color="auto"/>
            </w:tcBorders>
            <w:shd w:val="clear" w:color="auto" w:fill="auto"/>
          </w:tcPr>
          <w:p w:rsidR="003C3009" w:rsidRPr="00024336" w:rsidRDefault="003C3009" w:rsidP="006B121A">
            <w:pPr>
              <w:autoSpaceDE w:val="0"/>
              <w:autoSpaceDN w:val="0"/>
              <w:spacing w:line="240" w:lineRule="auto"/>
              <w:jc w:val="center"/>
              <w:rPr>
                <w:rFonts w:ascii="Palatino Linotype" w:eastAsia="SimSun" w:hAnsi="Palatino Linotype" w:cs="Arial"/>
                <w:color w:val="auto"/>
                <w:sz w:val="20"/>
                <w:szCs w:val="18"/>
                <w:lang w:val="en-GB" w:eastAsia="it-IT"/>
              </w:rPr>
            </w:pPr>
          </w:p>
        </w:tc>
        <w:tc>
          <w:tcPr>
            <w:tcW w:w="0" w:type="auto"/>
            <w:tcBorders>
              <w:top w:val="single" w:sz="4" w:space="0" w:color="auto"/>
              <w:bottom w:val="single" w:sz="4" w:space="0" w:color="auto"/>
            </w:tcBorders>
            <w:shd w:val="clear" w:color="auto" w:fill="auto"/>
          </w:tcPr>
          <w:p w:rsidR="003C3009" w:rsidRPr="00024336" w:rsidRDefault="00F06A27" w:rsidP="006B121A">
            <w:pPr>
              <w:autoSpaceDE w:val="0"/>
              <w:autoSpaceDN w:val="0"/>
              <w:spacing w:line="240" w:lineRule="auto"/>
              <w:jc w:val="center"/>
              <w:rPr>
                <w:rFonts w:ascii="Palatino Linotype" w:eastAsia="SimSun" w:hAnsi="Palatino Linotype" w:cs="Arial"/>
                <w:b/>
                <w:color w:val="auto"/>
                <w:sz w:val="20"/>
                <w:szCs w:val="18"/>
                <w:lang w:val="en-GB" w:eastAsia="it-IT"/>
              </w:rPr>
            </w:pPr>
            <w:r w:rsidRPr="00024336">
              <w:rPr>
                <w:rFonts w:ascii="Palatino Linotype" w:eastAsia="SimSun" w:hAnsi="Palatino Linotype" w:cs="Arial"/>
                <w:b/>
                <w:color w:val="auto"/>
                <w:sz w:val="20"/>
                <w:szCs w:val="18"/>
                <w:lang w:val="en-GB" w:eastAsia="it-IT"/>
              </w:rPr>
              <w:t>2–4</w:t>
            </w:r>
          </w:p>
        </w:tc>
        <w:tc>
          <w:tcPr>
            <w:tcW w:w="0" w:type="auto"/>
            <w:tcBorders>
              <w:top w:val="single" w:sz="4" w:space="0" w:color="auto"/>
              <w:bottom w:val="single" w:sz="4" w:space="0" w:color="auto"/>
            </w:tcBorders>
            <w:shd w:val="clear" w:color="auto" w:fill="auto"/>
          </w:tcPr>
          <w:p w:rsidR="003C3009" w:rsidRPr="00024336" w:rsidRDefault="00F06A27" w:rsidP="006B121A">
            <w:pPr>
              <w:autoSpaceDE w:val="0"/>
              <w:autoSpaceDN w:val="0"/>
              <w:spacing w:line="240" w:lineRule="auto"/>
              <w:jc w:val="center"/>
              <w:rPr>
                <w:rFonts w:ascii="Palatino Linotype" w:eastAsia="SimSun" w:hAnsi="Palatino Linotype" w:cs="Arial"/>
                <w:b/>
                <w:color w:val="auto"/>
                <w:sz w:val="20"/>
                <w:szCs w:val="18"/>
                <w:lang w:val="en-GB" w:eastAsia="it-IT"/>
              </w:rPr>
            </w:pPr>
            <w:r w:rsidRPr="00024336">
              <w:rPr>
                <w:rFonts w:ascii="Palatino Linotype" w:eastAsia="SimSun" w:hAnsi="Palatino Linotype" w:cs="Arial"/>
                <w:b/>
                <w:color w:val="auto"/>
                <w:sz w:val="20"/>
                <w:szCs w:val="18"/>
                <w:lang w:val="en-GB" w:eastAsia="it-IT"/>
              </w:rPr>
              <w:t>5–9</w:t>
            </w:r>
          </w:p>
        </w:tc>
        <w:tc>
          <w:tcPr>
            <w:tcW w:w="0" w:type="auto"/>
            <w:tcBorders>
              <w:top w:val="single" w:sz="4" w:space="0" w:color="auto"/>
              <w:bottom w:val="single" w:sz="4" w:space="0" w:color="auto"/>
            </w:tcBorders>
            <w:shd w:val="clear" w:color="auto" w:fill="auto"/>
          </w:tcPr>
          <w:p w:rsidR="003C3009" w:rsidRPr="00024336" w:rsidRDefault="003C3009" w:rsidP="006B121A">
            <w:pPr>
              <w:autoSpaceDE w:val="0"/>
              <w:autoSpaceDN w:val="0"/>
              <w:spacing w:line="240" w:lineRule="auto"/>
              <w:jc w:val="center"/>
              <w:rPr>
                <w:rFonts w:ascii="Palatino Linotype" w:eastAsia="SimSun" w:hAnsi="Palatino Linotype" w:cs="Arial"/>
                <w:b/>
                <w:color w:val="auto"/>
                <w:sz w:val="20"/>
                <w:szCs w:val="18"/>
                <w:lang w:val="en-GB" w:eastAsia="it-IT"/>
              </w:rPr>
            </w:pPr>
            <w:r w:rsidRPr="00024336">
              <w:rPr>
                <w:rFonts w:ascii="Palatino Linotype" w:eastAsia="SimSun" w:hAnsi="Palatino Linotype" w:cs="Arial"/>
                <w:b/>
                <w:color w:val="auto"/>
                <w:sz w:val="20"/>
                <w:szCs w:val="18"/>
                <w:lang w:val="en-GB" w:eastAsia="it-IT"/>
              </w:rPr>
              <w:t>1</w:t>
            </w:r>
            <w:r w:rsidR="00F06A27" w:rsidRPr="00024336">
              <w:rPr>
                <w:rFonts w:ascii="Palatino Linotype" w:eastAsia="SimSun" w:hAnsi="Palatino Linotype" w:cs="Arial"/>
                <w:b/>
                <w:color w:val="auto"/>
                <w:sz w:val="20"/>
                <w:szCs w:val="18"/>
                <w:lang w:val="en-GB" w:eastAsia="it-IT"/>
              </w:rPr>
              <w:t>0–14</w:t>
            </w:r>
          </w:p>
        </w:tc>
        <w:tc>
          <w:tcPr>
            <w:tcW w:w="0" w:type="auto"/>
            <w:tcBorders>
              <w:top w:val="single" w:sz="4" w:space="0" w:color="auto"/>
              <w:bottom w:val="single" w:sz="4" w:space="0" w:color="auto"/>
            </w:tcBorders>
            <w:shd w:val="clear" w:color="auto" w:fill="auto"/>
          </w:tcPr>
          <w:p w:rsidR="003C3009" w:rsidRPr="00024336" w:rsidRDefault="003C3009" w:rsidP="006B121A">
            <w:pPr>
              <w:autoSpaceDE w:val="0"/>
              <w:autoSpaceDN w:val="0"/>
              <w:spacing w:line="240" w:lineRule="auto"/>
              <w:jc w:val="center"/>
              <w:rPr>
                <w:rFonts w:ascii="Palatino Linotype" w:eastAsia="SimSun" w:hAnsi="Palatino Linotype" w:cs="Arial"/>
                <w:b/>
                <w:color w:val="auto"/>
                <w:sz w:val="20"/>
                <w:szCs w:val="18"/>
                <w:lang w:val="en-GB" w:eastAsia="it-IT"/>
              </w:rPr>
            </w:pPr>
            <w:r w:rsidRPr="00024336">
              <w:rPr>
                <w:rFonts w:ascii="Palatino Linotype" w:eastAsia="SimSun" w:hAnsi="Palatino Linotype" w:cs="Arial"/>
                <w:b/>
                <w:color w:val="auto"/>
                <w:sz w:val="20"/>
                <w:szCs w:val="18"/>
                <w:lang w:val="en-GB" w:eastAsia="it-IT"/>
              </w:rPr>
              <w:t>1</w:t>
            </w:r>
            <w:r w:rsidR="00F06A27" w:rsidRPr="00024336">
              <w:rPr>
                <w:rFonts w:ascii="Palatino Linotype" w:eastAsia="SimSun" w:hAnsi="Palatino Linotype" w:cs="Arial"/>
                <w:b/>
                <w:color w:val="auto"/>
                <w:sz w:val="20"/>
                <w:szCs w:val="18"/>
                <w:lang w:val="en-GB" w:eastAsia="it-IT"/>
              </w:rPr>
              <w:t>5–20</w:t>
            </w:r>
          </w:p>
        </w:tc>
        <w:tc>
          <w:tcPr>
            <w:tcW w:w="0" w:type="auto"/>
            <w:tcBorders>
              <w:top w:val="single" w:sz="4" w:space="0" w:color="auto"/>
              <w:bottom w:val="single" w:sz="4" w:space="0" w:color="auto"/>
            </w:tcBorders>
            <w:shd w:val="clear" w:color="auto" w:fill="auto"/>
          </w:tcPr>
          <w:p w:rsidR="003C3009" w:rsidRPr="00024336" w:rsidRDefault="003C3009" w:rsidP="006B121A">
            <w:pPr>
              <w:autoSpaceDE w:val="0"/>
              <w:autoSpaceDN w:val="0"/>
              <w:spacing w:line="240" w:lineRule="auto"/>
              <w:jc w:val="center"/>
              <w:rPr>
                <w:rFonts w:ascii="Palatino Linotype" w:eastAsia="SimSun" w:hAnsi="Palatino Linotype" w:cs="Arial"/>
                <w:b/>
                <w:color w:val="auto"/>
                <w:sz w:val="20"/>
                <w:szCs w:val="18"/>
                <w:lang w:val="en-GB" w:eastAsia="it-IT"/>
              </w:rPr>
            </w:pPr>
            <w:r w:rsidRPr="00024336">
              <w:rPr>
                <w:rFonts w:ascii="Palatino Linotype" w:eastAsia="SimSun" w:hAnsi="Palatino Linotype" w:cs="Arial"/>
                <w:b/>
                <w:color w:val="auto"/>
                <w:sz w:val="20"/>
                <w:szCs w:val="18"/>
                <w:lang w:val="en-GB" w:eastAsia="it-IT"/>
              </w:rPr>
              <w:t>&gt;20</w:t>
            </w:r>
          </w:p>
        </w:tc>
        <w:tc>
          <w:tcPr>
            <w:tcW w:w="0" w:type="auto"/>
            <w:vMerge/>
            <w:tcBorders>
              <w:top w:val="single" w:sz="4" w:space="0" w:color="auto"/>
              <w:bottom w:val="single" w:sz="4" w:space="0" w:color="auto"/>
            </w:tcBorders>
            <w:shd w:val="clear" w:color="auto" w:fill="auto"/>
          </w:tcPr>
          <w:p w:rsidR="003C3009" w:rsidRPr="00024336" w:rsidRDefault="003C3009" w:rsidP="006B121A">
            <w:pPr>
              <w:autoSpaceDE w:val="0"/>
              <w:autoSpaceDN w:val="0"/>
              <w:spacing w:line="240" w:lineRule="auto"/>
              <w:jc w:val="center"/>
              <w:rPr>
                <w:rFonts w:ascii="Palatino Linotype" w:eastAsia="SimSun" w:hAnsi="Palatino Linotype" w:cs="Arial"/>
                <w:b/>
                <w:color w:val="auto"/>
                <w:sz w:val="20"/>
                <w:szCs w:val="18"/>
                <w:lang w:val="en-GB" w:eastAsia="it-IT"/>
              </w:rPr>
            </w:pPr>
          </w:p>
        </w:tc>
      </w:tr>
      <w:tr w:rsidR="00EC56C7" w:rsidRPr="00024336" w:rsidTr="006B121A">
        <w:tc>
          <w:tcPr>
            <w:tcW w:w="0" w:type="auto"/>
            <w:vMerge w:val="restart"/>
            <w:tcBorders>
              <w:top w:val="single" w:sz="4" w:space="0" w:color="auto"/>
            </w:tcBorders>
            <w:shd w:val="clear" w:color="auto" w:fill="auto"/>
          </w:tcPr>
          <w:p w:rsidR="003C3009" w:rsidRPr="00024336" w:rsidRDefault="003C3009" w:rsidP="006B121A">
            <w:pPr>
              <w:autoSpaceDE w:val="0"/>
              <w:autoSpaceDN w:val="0"/>
              <w:spacing w:line="240" w:lineRule="auto"/>
              <w:jc w:val="center"/>
              <w:rPr>
                <w:rFonts w:ascii="Palatino Linotype" w:eastAsia="SimSun" w:hAnsi="Palatino Linotype" w:cs="Arial"/>
                <w:color w:val="auto"/>
                <w:sz w:val="20"/>
                <w:szCs w:val="18"/>
                <w:lang w:val="en-GB" w:eastAsia="it-IT"/>
              </w:rPr>
            </w:pPr>
            <w:r w:rsidRPr="00024336">
              <w:rPr>
                <w:rFonts w:ascii="Palatino Linotype" w:eastAsia="SimSun" w:hAnsi="Palatino Linotype" w:cs="Arial"/>
                <w:color w:val="auto"/>
                <w:sz w:val="20"/>
                <w:szCs w:val="18"/>
                <w:lang w:val="en-GB" w:eastAsia="it-IT"/>
              </w:rPr>
              <w:t>Adherence</w:t>
            </w:r>
          </w:p>
        </w:tc>
        <w:tc>
          <w:tcPr>
            <w:tcW w:w="0" w:type="auto"/>
            <w:vMerge w:val="restart"/>
            <w:tcBorders>
              <w:top w:val="single" w:sz="4" w:space="0" w:color="auto"/>
              <w:bottom w:val="nil"/>
            </w:tcBorders>
            <w:shd w:val="clear" w:color="auto" w:fill="auto"/>
          </w:tcPr>
          <w:p w:rsidR="003C3009" w:rsidRPr="00024336" w:rsidRDefault="003C3009" w:rsidP="006B121A">
            <w:pPr>
              <w:autoSpaceDE w:val="0"/>
              <w:autoSpaceDN w:val="0"/>
              <w:spacing w:line="240" w:lineRule="auto"/>
              <w:jc w:val="center"/>
              <w:rPr>
                <w:rFonts w:ascii="Palatino Linotype" w:eastAsia="SimSun" w:hAnsi="Palatino Linotype" w:cs="Arial"/>
                <w:color w:val="auto"/>
                <w:sz w:val="20"/>
                <w:szCs w:val="18"/>
                <w:lang w:val="en-GB" w:eastAsia="it-IT"/>
              </w:rPr>
            </w:pPr>
            <w:r w:rsidRPr="00024336">
              <w:rPr>
                <w:rFonts w:ascii="Palatino Linotype" w:eastAsia="SimSun" w:hAnsi="Palatino Linotype" w:cs="Arial"/>
                <w:color w:val="auto"/>
                <w:sz w:val="20"/>
                <w:szCs w:val="18"/>
                <w:lang w:val="en-GB" w:eastAsia="it-IT"/>
              </w:rPr>
              <w:t>Fair/Low</w:t>
            </w:r>
          </w:p>
        </w:tc>
        <w:tc>
          <w:tcPr>
            <w:tcW w:w="0" w:type="auto"/>
            <w:tcBorders>
              <w:top w:val="single" w:sz="4" w:space="0" w:color="auto"/>
              <w:bottom w:val="nil"/>
            </w:tcBorders>
            <w:shd w:val="clear" w:color="auto" w:fill="auto"/>
          </w:tcPr>
          <w:p w:rsidR="003C3009" w:rsidRPr="00024336" w:rsidRDefault="003C3009" w:rsidP="006B121A">
            <w:pPr>
              <w:autoSpaceDE w:val="0"/>
              <w:autoSpaceDN w:val="0"/>
              <w:spacing w:line="240" w:lineRule="auto"/>
              <w:jc w:val="center"/>
              <w:rPr>
                <w:rFonts w:ascii="Palatino Linotype" w:eastAsia="SimSun" w:hAnsi="Palatino Linotype" w:cs="Arial"/>
                <w:color w:val="auto"/>
                <w:sz w:val="20"/>
                <w:szCs w:val="18"/>
                <w:lang w:val="en-GB" w:eastAsia="it-IT"/>
              </w:rPr>
            </w:pPr>
            <w:r w:rsidRPr="00024336">
              <w:rPr>
                <w:rFonts w:ascii="Palatino Linotype" w:eastAsia="SimSun" w:hAnsi="Palatino Linotype" w:cs="Arial"/>
                <w:color w:val="auto"/>
                <w:sz w:val="20"/>
                <w:szCs w:val="18"/>
                <w:lang w:val="en-GB" w:eastAsia="it-IT"/>
              </w:rPr>
              <w:t>Number of patients</w:t>
            </w:r>
          </w:p>
        </w:tc>
        <w:tc>
          <w:tcPr>
            <w:tcW w:w="0" w:type="auto"/>
            <w:tcBorders>
              <w:top w:val="single" w:sz="4" w:space="0" w:color="auto"/>
              <w:bottom w:val="nil"/>
            </w:tcBorders>
            <w:shd w:val="clear" w:color="auto" w:fill="auto"/>
          </w:tcPr>
          <w:p w:rsidR="003C3009" w:rsidRPr="00024336" w:rsidRDefault="003C3009" w:rsidP="006B121A">
            <w:pPr>
              <w:autoSpaceDE w:val="0"/>
              <w:autoSpaceDN w:val="0"/>
              <w:spacing w:line="240" w:lineRule="auto"/>
              <w:jc w:val="center"/>
              <w:rPr>
                <w:rFonts w:ascii="Palatino Linotype" w:eastAsia="SimSun" w:hAnsi="Palatino Linotype" w:cs="Arial"/>
                <w:color w:val="auto"/>
                <w:sz w:val="20"/>
                <w:szCs w:val="18"/>
                <w:lang w:val="en-GB" w:eastAsia="it-IT"/>
              </w:rPr>
            </w:pPr>
            <w:r w:rsidRPr="00024336">
              <w:rPr>
                <w:rFonts w:ascii="Palatino Linotype" w:eastAsia="SimSun" w:hAnsi="Palatino Linotype" w:cs="Arial"/>
                <w:color w:val="auto"/>
                <w:sz w:val="20"/>
                <w:szCs w:val="18"/>
                <w:lang w:val="en-GB" w:eastAsia="it-IT"/>
              </w:rPr>
              <w:t>3</w:t>
            </w:r>
          </w:p>
        </w:tc>
        <w:tc>
          <w:tcPr>
            <w:tcW w:w="0" w:type="auto"/>
            <w:tcBorders>
              <w:top w:val="single" w:sz="4" w:space="0" w:color="auto"/>
              <w:bottom w:val="nil"/>
            </w:tcBorders>
            <w:shd w:val="clear" w:color="auto" w:fill="auto"/>
          </w:tcPr>
          <w:p w:rsidR="003C3009" w:rsidRPr="00024336" w:rsidRDefault="003C3009" w:rsidP="006B121A">
            <w:pPr>
              <w:autoSpaceDE w:val="0"/>
              <w:autoSpaceDN w:val="0"/>
              <w:spacing w:line="240" w:lineRule="auto"/>
              <w:jc w:val="center"/>
              <w:rPr>
                <w:rFonts w:ascii="Palatino Linotype" w:eastAsia="SimSun" w:hAnsi="Palatino Linotype" w:cs="Arial"/>
                <w:color w:val="auto"/>
                <w:sz w:val="20"/>
                <w:szCs w:val="18"/>
                <w:lang w:val="en-GB" w:eastAsia="it-IT"/>
              </w:rPr>
            </w:pPr>
            <w:r w:rsidRPr="00024336">
              <w:rPr>
                <w:rFonts w:ascii="Palatino Linotype" w:eastAsia="SimSun" w:hAnsi="Palatino Linotype" w:cs="Arial"/>
                <w:color w:val="auto"/>
                <w:sz w:val="20"/>
                <w:szCs w:val="18"/>
                <w:lang w:val="en-GB" w:eastAsia="it-IT"/>
              </w:rPr>
              <w:t>12</w:t>
            </w:r>
          </w:p>
        </w:tc>
        <w:tc>
          <w:tcPr>
            <w:tcW w:w="0" w:type="auto"/>
            <w:tcBorders>
              <w:top w:val="single" w:sz="4" w:space="0" w:color="auto"/>
              <w:bottom w:val="nil"/>
            </w:tcBorders>
            <w:shd w:val="clear" w:color="auto" w:fill="auto"/>
          </w:tcPr>
          <w:p w:rsidR="003C3009" w:rsidRPr="00024336" w:rsidRDefault="003C3009" w:rsidP="006B121A">
            <w:pPr>
              <w:autoSpaceDE w:val="0"/>
              <w:autoSpaceDN w:val="0"/>
              <w:spacing w:line="240" w:lineRule="auto"/>
              <w:jc w:val="center"/>
              <w:rPr>
                <w:rFonts w:ascii="Palatino Linotype" w:eastAsia="SimSun" w:hAnsi="Palatino Linotype" w:cs="Arial"/>
                <w:color w:val="auto"/>
                <w:sz w:val="20"/>
                <w:szCs w:val="18"/>
                <w:lang w:val="en-GB" w:eastAsia="it-IT"/>
              </w:rPr>
            </w:pPr>
            <w:r w:rsidRPr="00024336">
              <w:rPr>
                <w:rFonts w:ascii="Palatino Linotype" w:eastAsia="SimSun" w:hAnsi="Palatino Linotype" w:cs="Arial"/>
                <w:color w:val="auto"/>
                <w:sz w:val="20"/>
                <w:szCs w:val="18"/>
                <w:lang w:val="en-GB" w:eastAsia="it-IT"/>
              </w:rPr>
              <w:t>25</w:t>
            </w:r>
          </w:p>
        </w:tc>
        <w:tc>
          <w:tcPr>
            <w:tcW w:w="0" w:type="auto"/>
            <w:tcBorders>
              <w:top w:val="single" w:sz="4" w:space="0" w:color="auto"/>
              <w:bottom w:val="nil"/>
            </w:tcBorders>
            <w:shd w:val="clear" w:color="auto" w:fill="auto"/>
          </w:tcPr>
          <w:p w:rsidR="003C3009" w:rsidRPr="00024336" w:rsidRDefault="003C3009" w:rsidP="006B121A">
            <w:pPr>
              <w:autoSpaceDE w:val="0"/>
              <w:autoSpaceDN w:val="0"/>
              <w:spacing w:line="240" w:lineRule="auto"/>
              <w:jc w:val="center"/>
              <w:rPr>
                <w:rFonts w:ascii="Palatino Linotype" w:eastAsia="SimSun" w:hAnsi="Palatino Linotype" w:cs="Arial"/>
                <w:color w:val="auto"/>
                <w:sz w:val="20"/>
                <w:szCs w:val="18"/>
                <w:lang w:val="en-GB" w:eastAsia="it-IT"/>
              </w:rPr>
            </w:pPr>
            <w:r w:rsidRPr="00024336">
              <w:rPr>
                <w:rFonts w:ascii="Palatino Linotype" w:eastAsia="SimSun" w:hAnsi="Palatino Linotype" w:cs="Arial"/>
                <w:color w:val="auto"/>
                <w:sz w:val="20"/>
                <w:szCs w:val="18"/>
                <w:lang w:val="en-GB" w:eastAsia="it-IT"/>
              </w:rPr>
              <w:t>22</w:t>
            </w:r>
          </w:p>
        </w:tc>
        <w:tc>
          <w:tcPr>
            <w:tcW w:w="0" w:type="auto"/>
            <w:tcBorders>
              <w:top w:val="single" w:sz="4" w:space="0" w:color="auto"/>
              <w:bottom w:val="nil"/>
            </w:tcBorders>
            <w:shd w:val="clear" w:color="auto" w:fill="auto"/>
          </w:tcPr>
          <w:p w:rsidR="003C3009" w:rsidRPr="00024336" w:rsidRDefault="003C3009" w:rsidP="006B121A">
            <w:pPr>
              <w:autoSpaceDE w:val="0"/>
              <w:autoSpaceDN w:val="0"/>
              <w:spacing w:line="240" w:lineRule="auto"/>
              <w:jc w:val="center"/>
              <w:rPr>
                <w:rFonts w:ascii="Palatino Linotype" w:eastAsia="SimSun" w:hAnsi="Palatino Linotype" w:cs="Arial"/>
                <w:color w:val="auto"/>
                <w:sz w:val="20"/>
                <w:szCs w:val="18"/>
                <w:lang w:val="en-GB" w:eastAsia="it-IT"/>
              </w:rPr>
            </w:pPr>
            <w:r w:rsidRPr="00024336">
              <w:rPr>
                <w:rFonts w:ascii="Palatino Linotype" w:eastAsia="SimSun" w:hAnsi="Palatino Linotype" w:cs="Arial"/>
                <w:color w:val="auto"/>
                <w:sz w:val="20"/>
                <w:szCs w:val="18"/>
                <w:lang w:val="en-GB" w:eastAsia="it-IT"/>
              </w:rPr>
              <w:t>2</w:t>
            </w:r>
          </w:p>
        </w:tc>
        <w:tc>
          <w:tcPr>
            <w:tcW w:w="0" w:type="auto"/>
            <w:tcBorders>
              <w:top w:val="single" w:sz="4" w:space="0" w:color="auto"/>
              <w:bottom w:val="nil"/>
            </w:tcBorders>
            <w:shd w:val="clear" w:color="auto" w:fill="auto"/>
          </w:tcPr>
          <w:p w:rsidR="003C3009" w:rsidRPr="00024336" w:rsidRDefault="003C3009" w:rsidP="006B121A">
            <w:pPr>
              <w:autoSpaceDE w:val="0"/>
              <w:autoSpaceDN w:val="0"/>
              <w:spacing w:line="240" w:lineRule="auto"/>
              <w:jc w:val="center"/>
              <w:rPr>
                <w:rFonts w:ascii="Palatino Linotype" w:eastAsia="SimSun" w:hAnsi="Palatino Linotype" w:cs="Arial"/>
                <w:color w:val="auto"/>
                <w:sz w:val="20"/>
                <w:szCs w:val="18"/>
                <w:lang w:val="en-GB" w:eastAsia="it-IT"/>
              </w:rPr>
            </w:pPr>
            <w:r w:rsidRPr="00024336">
              <w:rPr>
                <w:rFonts w:ascii="Palatino Linotype" w:eastAsia="SimSun" w:hAnsi="Palatino Linotype" w:cs="Arial"/>
                <w:color w:val="auto"/>
                <w:sz w:val="20"/>
                <w:szCs w:val="18"/>
                <w:lang w:val="en-GB" w:eastAsia="it-IT"/>
              </w:rPr>
              <w:t>64</w:t>
            </w:r>
          </w:p>
        </w:tc>
      </w:tr>
      <w:tr w:rsidR="00EC56C7" w:rsidRPr="00024336" w:rsidTr="006B121A">
        <w:tc>
          <w:tcPr>
            <w:tcW w:w="0" w:type="auto"/>
            <w:vMerge/>
            <w:shd w:val="clear" w:color="auto" w:fill="auto"/>
          </w:tcPr>
          <w:p w:rsidR="003C3009" w:rsidRPr="00024336" w:rsidRDefault="003C3009" w:rsidP="006B121A">
            <w:pPr>
              <w:autoSpaceDE w:val="0"/>
              <w:autoSpaceDN w:val="0"/>
              <w:spacing w:line="240" w:lineRule="auto"/>
              <w:jc w:val="center"/>
              <w:rPr>
                <w:rFonts w:ascii="Palatino Linotype" w:eastAsia="SimSun" w:hAnsi="Palatino Linotype" w:cs="Arial"/>
                <w:color w:val="auto"/>
                <w:sz w:val="20"/>
                <w:szCs w:val="18"/>
                <w:lang w:val="en-GB" w:eastAsia="it-IT"/>
              </w:rPr>
            </w:pPr>
          </w:p>
        </w:tc>
        <w:tc>
          <w:tcPr>
            <w:tcW w:w="0" w:type="auto"/>
            <w:vMerge/>
            <w:tcBorders>
              <w:top w:val="nil"/>
              <w:bottom w:val="single" w:sz="4" w:space="0" w:color="auto"/>
            </w:tcBorders>
            <w:shd w:val="clear" w:color="auto" w:fill="auto"/>
          </w:tcPr>
          <w:p w:rsidR="003C3009" w:rsidRPr="00024336" w:rsidRDefault="003C3009" w:rsidP="006B121A">
            <w:pPr>
              <w:autoSpaceDE w:val="0"/>
              <w:autoSpaceDN w:val="0"/>
              <w:spacing w:line="240" w:lineRule="auto"/>
              <w:jc w:val="center"/>
              <w:rPr>
                <w:rFonts w:ascii="Palatino Linotype" w:eastAsia="SimSun" w:hAnsi="Palatino Linotype" w:cs="Arial"/>
                <w:color w:val="auto"/>
                <w:sz w:val="20"/>
                <w:szCs w:val="18"/>
                <w:lang w:val="en-GB" w:eastAsia="it-IT"/>
              </w:rPr>
            </w:pPr>
          </w:p>
        </w:tc>
        <w:tc>
          <w:tcPr>
            <w:tcW w:w="0" w:type="auto"/>
            <w:tcBorders>
              <w:top w:val="nil"/>
              <w:bottom w:val="single" w:sz="4" w:space="0" w:color="auto"/>
            </w:tcBorders>
            <w:shd w:val="clear" w:color="auto" w:fill="auto"/>
          </w:tcPr>
          <w:p w:rsidR="003C3009" w:rsidRPr="00024336" w:rsidRDefault="003C3009" w:rsidP="006B121A">
            <w:pPr>
              <w:autoSpaceDE w:val="0"/>
              <w:autoSpaceDN w:val="0"/>
              <w:spacing w:line="240" w:lineRule="auto"/>
              <w:jc w:val="center"/>
              <w:rPr>
                <w:rFonts w:ascii="Palatino Linotype" w:eastAsia="SimSun" w:hAnsi="Palatino Linotype" w:cs="Arial"/>
                <w:color w:val="auto"/>
                <w:sz w:val="20"/>
                <w:szCs w:val="18"/>
                <w:lang w:val="en-GB" w:eastAsia="it-IT"/>
              </w:rPr>
            </w:pPr>
            <w:r w:rsidRPr="00024336">
              <w:rPr>
                <w:rFonts w:ascii="Palatino Linotype" w:eastAsia="SimSun" w:hAnsi="Palatino Linotype" w:cs="Arial"/>
                <w:color w:val="auto"/>
                <w:sz w:val="20"/>
                <w:szCs w:val="18"/>
                <w:lang w:val="en-GB" w:eastAsia="it-IT"/>
              </w:rPr>
              <w:t>Percentage</w:t>
            </w:r>
          </w:p>
        </w:tc>
        <w:tc>
          <w:tcPr>
            <w:tcW w:w="0" w:type="auto"/>
            <w:tcBorders>
              <w:top w:val="nil"/>
              <w:bottom w:val="single" w:sz="4" w:space="0" w:color="auto"/>
            </w:tcBorders>
            <w:shd w:val="clear" w:color="auto" w:fill="auto"/>
          </w:tcPr>
          <w:p w:rsidR="003C3009" w:rsidRPr="00024336" w:rsidRDefault="003C3009" w:rsidP="006B121A">
            <w:pPr>
              <w:autoSpaceDE w:val="0"/>
              <w:autoSpaceDN w:val="0"/>
              <w:spacing w:line="240" w:lineRule="auto"/>
              <w:jc w:val="center"/>
              <w:rPr>
                <w:rFonts w:ascii="Palatino Linotype" w:eastAsia="SimSun" w:hAnsi="Palatino Linotype" w:cs="Arial"/>
                <w:color w:val="auto"/>
                <w:sz w:val="20"/>
                <w:szCs w:val="18"/>
                <w:lang w:val="en-GB" w:eastAsia="it-IT"/>
              </w:rPr>
            </w:pPr>
            <w:r w:rsidRPr="00024336">
              <w:rPr>
                <w:rFonts w:ascii="Palatino Linotype" w:eastAsia="SimSun" w:hAnsi="Palatino Linotype" w:cs="Arial"/>
                <w:color w:val="auto"/>
                <w:sz w:val="20"/>
                <w:szCs w:val="18"/>
                <w:lang w:val="en-GB" w:eastAsia="it-IT"/>
              </w:rPr>
              <w:t>20.0%</w:t>
            </w:r>
          </w:p>
        </w:tc>
        <w:tc>
          <w:tcPr>
            <w:tcW w:w="0" w:type="auto"/>
            <w:tcBorders>
              <w:top w:val="nil"/>
              <w:bottom w:val="single" w:sz="4" w:space="0" w:color="auto"/>
            </w:tcBorders>
            <w:shd w:val="clear" w:color="auto" w:fill="auto"/>
          </w:tcPr>
          <w:p w:rsidR="003C3009" w:rsidRPr="00024336" w:rsidRDefault="003C3009" w:rsidP="006B121A">
            <w:pPr>
              <w:autoSpaceDE w:val="0"/>
              <w:autoSpaceDN w:val="0"/>
              <w:spacing w:line="240" w:lineRule="auto"/>
              <w:jc w:val="center"/>
              <w:rPr>
                <w:rFonts w:ascii="Palatino Linotype" w:eastAsia="SimSun" w:hAnsi="Palatino Linotype" w:cs="Arial"/>
                <w:color w:val="auto"/>
                <w:sz w:val="20"/>
                <w:szCs w:val="18"/>
                <w:lang w:val="en-GB" w:eastAsia="it-IT"/>
              </w:rPr>
            </w:pPr>
            <w:r w:rsidRPr="00024336">
              <w:rPr>
                <w:rFonts w:ascii="Palatino Linotype" w:eastAsia="SimSun" w:hAnsi="Palatino Linotype" w:cs="Arial"/>
                <w:color w:val="auto"/>
                <w:sz w:val="20"/>
                <w:szCs w:val="18"/>
                <w:lang w:val="en-GB" w:eastAsia="it-IT"/>
              </w:rPr>
              <w:t>34.3%</w:t>
            </w:r>
          </w:p>
        </w:tc>
        <w:tc>
          <w:tcPr>
            <w:tcW w:w="0" w:type="auto"/>
            <w:tcBorders>
              <w:top w:val="nil"/>
              <w:bottom w:val="single" w:sz="4" w:space="0" w:color="auto"/>
            </w:tcBorders>
            <w:shd w:val="clear" w:color="auto" w:fill="auto"/>
          </w:tcPr>
          <w:p w:rsidR="003C3009" w:rsidRPr="00024336" w:rsidRDefault="003C3009" w:rsidP="006B121A">
            <w:pPr>
              <w:autoSpaceDE w:val="0"/>
              <w:autoSpaceDN w:val="0"/>
              <w:spacing w:line="240" w:lineRule="auto"/>
              <w:jc w:val="center"/>
              <w:rPr>
                <w:rFonts w:ascii="Palatino Linotype" w:eastAsia="SimSun" w:hAnsi="Palatino Linotype" w:cs="Arial"/>
                <w:color w:val="auto"/>
                <w:sz w:val="20"/>
                <w:szCs w:val="18"/>
                <w:lang w:val="en-GB" w:eastAsia="it-IT"/>
              </w:rPr>
            </w:pPr>
            <w:r w:rsidRPr="00024336">
              <w:rPr>
                <w:rFonts w:ascii="Palatino Linotype" w:eastAsia="SimSun" w:hAnsi="Palatino Linotype" w:cs="Arial"/>
                <w:color w:val="auto"/>
                <w:sz w:val="20"/>
                <w:szCs w:val="18"/>
                <w:lang w:val="en-GB" w:eastAsia="it-IT"/>
              </w:rPr>
              <w:t>41.7%</w:t>
            </w:r>
          </w:p>
        </w:tc>
        <w:tc>
          <w:tcPr>
            <w:tcW w:w="0" w:type="auto"/>
            <w:tcBorders>
              <w:top w:val="nil"/>
              <w:bottom w:val="single" w:sz="4" w:space="0" w:color="auto"/>
            </w:tcBorders>
            <w:shd w:val="clear" w:color="auto" w:fill="auto"/>
          </w:tcPr>
          <w:p w:rsidR="003C3009" w:rsidRPr="00024336" w:rsidRDefault="003C3009" w:rsidP="006B121A">
            <w:pPr>
              <w:autoSpaceDE w:val="0"/>
              <w:autoSpaceDN w:val="0"/>
              <w:spacing w:line="240" w:lineRule="auto"/>
              <w:jc w:val="center"/>
              <w:rPr>
                <w:rFonts w:ascii="Palatino Linotype" w:eastAsia="SimSun" w:hAnsi="Palatino Linotype" w:cs="Arial"/>
                <w:color w:val="auto"/>
                <w:sz w:val="20"/>
                <w:szCs w:val="18"/>
                <w:lang w:val="en-GB" w:eastAsia="it-IT"/>
              </w:rPr>
            </w:pPr>
            <w:r w:rsidRPr="00024336">
              <w:rPr>
                <w:rFonts w:ascii="Palatino Linotype" w:eastAsia="SimSun" w:hAnsi="Palatino Linotype" w:cs="Arial"/>
                <w:color w:val="auto"/>
                <w:sz w:val="20"/>
                <w:szCs w:val="18"/>
                <w:lang w:val="en-GB" w:eastAsia="it-IT"/>
              </w:rPr>
              <w:t>50.0%</w:t>
            </w:r>
          </w:p>
        </w:tc>
        <w:tc>
          <w:tcPr>
            <w:tcW w:w="0" w:type="auto"/>
            <w:tcBorders>
              <w:top w:val="nil"/>
              <w:bottom w:val="single" w:sz="4" w:space="0" w:color="auto"/>
            </w:tcBorders>
            <w:shd w:val="clear" w:color="auto" w:fill="auto"/>
          </w:tcPr>
          <w:p w:rsidR="003C3009" w:rsidRPr="00024336" w:rsidRDefault="003C3009" w:rsidP="006B121A">
            <w:pPr>
              <w:autoSpaceDE w:val="0"/>
              <w:autoSpaceDN w:val="0"/>
              <w:spacing w:line="240" w:lineRule="auto"/>
              <w:jc w:val="center"/>
              <w:rPr>
                <w:rFonts w:ascii="Palatino Linotype" w:eastAsia="SimSun" w:hAnsi="Palatino Linotype" w:cs="Arial"/>
                <w:color w:val="auto"/>
                <w:sz w:val="20"/>
                <w:szCs w:val="18"/>
                <w:lang w:val="en-GB" w:eastAsia="it-IT"/>
              </w:rPr>
            </w:pPr>
            <w:r w:rsidRPr="00024336">
              <w:rPr>
                <w:rFonts w:ascii="Palatino Linotype" w:eastAsia="SimSun" w:hAnsi="Palatino Linotype" w:cs="Arial"/>
                <w:color w:val="auto"/>
                <w:sz w:val="20"/>
                <w:szCs w:val="18"/>
                <w:lang w:val="en-GB" w:eastAsia="it-IT"/>
              </w:rPr>
              <w:t>50.0%</w:t>
            </w:r>
          </w:p>
        </w:tc>
        <w:tc>
          <w:tcPr>
            <w:tcW w:w="0" w:type="auto"/>
            <w:tcBorders>
              <w:top w:val="nil"/>
              <w:bottom w:val="single" w:sz="4" w:space="0" w:color="auto"/>
            </w:tcBorders>
            <w:shd w:val="clear" w:color="auto" w:fill="auto"/>
          </w:tcPr>
          <w:p w:rsidR="003C3009" w:rsidRPr="00024336" w:rsidRDefault="003C3009" w:rsidP="006B121A">
            <w:pPr>
              <w:autoSpaceDE w:val="0"/>
              <w:autoSpaceDN w:val="0"/>
              <w:spacing w:line="240" w:lineRule="auto"/>
              <w:jc w:val="center"/>
              <w:rPr>
                <w:rFonts w:ascii="Palatino Linotype" w:eastAsia="SimSun" w:hAnsi="Palatino Linotype" w:cs="Arial"/>
                <w:color w:val="auto"/>
                <w:sz w:val="20"/>
                <w:szCs w:val="18"/>
                <w:lang w:val="en-GB" w:eastAsia="it-IT"/>
              </w:rPr>
            </w:pPr>
            <w:r w:rsidRPr="00024336">
              <w:rPr>
                <w:rFonts w:ascii="Palatino Linotype" w:eastAsia="SimSun" w:hAnsi="Palatino Linotype" w:cs="Arial"/>
                <w:color w:val="auto"/>
                <w:sz w:val="20"/>
                <w:szCs w:val="18"/>
                <w:lang w:val="en-GB" w:eastAsia="it-IT"/>
              </w:rPr>
              <w:t>40.5%</w:t>
            </w:r>
          </w:p>
        </w:tc>
      </w:tr>
      <w:tr w:rsidR="00EC56C7" w:rsidRPr="00024336" w:rsidTr="006B121A">
        <w:tc>
          <w:tcPr>
            <w:tcW w:w="0" w:type="auto"/>
            <w:vMerge/>
            <w:shd w:val="clear" w:color="auto" w:fill="auto"/>
          </w:tcPr>
          <w:p w:rsidR="003C3009" w:rsidRPr="00024336" w:rsidRDefault="003C3009" w:rsidP="006B121A">
            <w:pPr>
              <w:autoSpaceDE w:val="0"/>
              <w:autoSpaceDN w:val="0"/>
              <w:spacing w:line="240" w:lineRule="auto"/>
              <w:jc w:val="center"/>
              <w:rPr>
                <w:rFonts w:ascii="Palatino Linotype" w:eastAsia="SimSun" w:hAnsi="Palatino Linotype" w:cs="Arial"/>
                <w:color w:val="auto"/>
                <w:sz w:val="20"/>
                <w:szCs w:val="18"/>
                <w:lang w:val="en-GB" w:eastAsia="it-IT"/>
              </w:rPr>
            </w:pPr>
          </w:p>
        </w:tc>
        <w:tc>
          <w:tcPr>
            <w:tcW w:w="0" w:type="auto"/>
            <w:vMerge w:val="restart"/>
            <w:tcBorders>
              <w:top w:val="single" w:sz="4" w:space="0" w:color="auto"/>
            </w:tcBorders>
            <w:shd w:val="clear" w:color="auto" w:fill="auto"/>
          </w:tcPr>
          <w:p w:rsidR="003C3009" w:rsidRPr="00024336" w:rsidRDefault="003C3009" w:rsidP="006B121A">
            <w:pPr>
              <w:autoSpaceDE w:val="0"/>
              <w:autoSpaceDN w:val="0"/>
              <w:spacing w:line="240" w:lineRule="auto"/>
              <w:jc w:val="center"/>
              <w:rPr>
                <w:rFonts w:ascii="Palatino Linotype" w:eastAsia="SimSun" w:hAnsi="Palatino Linotype" w:cs="Arial"/>
                <w:color w:val="auto"/>
                <w:sz w:val="20"/>
                <w:szCs w:val="18"/>
                <w:lang w:val="en-GB" w:eastAsia="it-IT"/>
              </w:rPr>
            </w:pPr>
            <w:r w:rsidRPr="00024336">
              <w:rPr>
                <w:rFonts w:ascii="Palatino Linotype" w:eastAsia="SimSun" w:hAnsi="Palatino Linotype" w:cs="Arial"/>
                <w:color w:val="auto"/>
                <w:sz w:val="20"/>
                <w:szCs w:val="18"/>
                <w:lang w:val="en-GB" w:eastAsia="it-IT"/>
              </w:rPr>
              <w:t>Excellent</w:t>
            </w:r>
          </w:p>
        </w:tc>
        <w:tc>
          <w:tcPr>
            <w:tcW w:w="0" w:type="auto"/>
            <w:tcBorders>
              <w:top w:val="single" w:sz="4" w:space="0" w:color="auto"/>
            </w:tcBorders>
            <w:shd w:val="clear" w:color="auto" w:fill="auto"/>
          </w:tcPr>
          <w:p w:rsidR="003C3009" w:rsidRPr="00024336" w:rsidRDefault="003C3009" w:rsidP="006B121A">
            <w:pPr>
              <w:autoSpaceDE w:val="0"/>
              <w:autoSpaceDN w:val="0"/>
              <w:spacing w:line="240" w:lineRule="auto"/>
              <w:jc w:val="center"/>
              <w:rPr>
                <w:rFonts w:ascii="Palatino Linotype" w:eastAsia="SimSun" w:hAnsi="Palatino Linotype" w:cs="Arial"/>
                <w:color w:val="auto"/>
                <w:sz w:val="20"/>
                <w:szCs w:val="18"/>
                <w:lang w:val="en-GB" w:eastAsia="it-IT"/>
              </w:rPr>
            </w:pPr>
            <w:r w:rsidRPr="00024336">
              <w:rPr>
                <w:rFonts w:ascii="Palatino Linotype" w:eastAsia="SimSun" w:hAnsi="Palatino Linotype" w:cs="Arial"/>
                <w:color w:val="auto"/>
                <w:sz w:val="20"/>
                <w:szCs w:val="18"/>
                <w:lang w:val="en-GB" w:eastAsia="it-IT"/>
              </w:rPr>
              <w:t>Number of patients</w:t>
            </w:r>
          </w:p>
        </w:tc>
        <w:tc>
          <w:tcPr>
            <w:tcW w:w="0" w:type="auto"/>
            <w:tcBorders>
              <w:top w:val="single" w:sz="4" w:space="0" w:color="auto"/>
            </w:tcBorders>
            <w:shd w:val="clear" w:color="auto" w:fill="auto"/>
          </w:tcPr>
          <w:p w:rsidR="003C3009" w:rsidRPr="00024336" w:rsidRDefault="003C3009" w:rsidP="006B121A">
            <w:pPr>
              <w:autoSpaceDE w:val="0"/>
              <w:autoSpaceDN w:val="0"/>
              <w:spacing w:line="240" w:lineRule="auto"/>
              <w:jc w:val="center"/>
              <w:rPr>
                <w:rFonts w:ascii="Palatino Linotype" w:eastAsia="SimSun" w:hAnsi="Palatino Linotype" w:cs="Arial"/>
                <w:color w:val="auto"/>
                <w:sz w:val="20"/>
                <w:szCs w:val="18"/>
                <w:lang w:val="en-GB" w:eastAsia="it-IT"/>
              </w:rPr>
            </w:pPr>
            <w:r w:rsidRPr="00024336">
              <w:rPr>
                <w:rFonts w:ascii="Palatino Linotype" w:eastAsia="SimSun" w:hAnsi="Palatino Linotype" w:cs="Arial"/>
                <w:color w:val="auto"/>
                <w:sz w:val="20"/>
                <w:szCs w:val="18"/>
                <w:lang w:val="en-GB" w:eastAsia="it-IT"/>
              </w:rPr>
              <w:t>12</w:t>
            </w:r>
          </w:p>
        </w:tc>
        <w:tc>
          <w:tcPr>
            <w:tcW w:w="0" w:type="auto"/>
            <w:tcBorders>
              <w:top w:val="single" w:sz="4" w:space="0" w:color="auto"/>
            </w:tcBorders>
            <w:shd w:val="clear" w:color="auto" w:fill="auto"/>
          </w:tcPr>
          <w:p w:rsidR="003C3009" w:rsidRPr="00024336" w:rsidRDefault="003C3009" w:rsidP="006B121A">
            <w:pPr>
              <w:autoSpaceDE w:val="0"/>
              <w:autoSpaceDN w:val="0"/>
              <w:spacing w:line="240" w:lineRule="auto"/>
              <w:jc w:val="center"/>
              <w:rPr>
                <w:rFonts w:ascii="Palatino Linotype" w:eastAsia="SimSun" w:hAnsi="Palatino Linotype" w:cs="Arial"/>
                <w:color w:val="auto"/>
                <w:sz w:val="20"/>
                <w:szCs w:val="18"/>
                <w:lang w:val="en-GB" w:eastAsia="it-IT"/>
              </w:rPr>
            </w:pPr>
            <w:r w:rsidRPr="00024336">
              <w:rPr>
                <w:rFonts w:ascii="Palatino Linotype" w:eastAsia="SimSun" w:hAnsi="Palatino Linotype" w:cs="Arial"/>
                <w:color w:val="auto"/>
                <w:sz w:val="20"/>
                <w:szCs w:val="18"/>
                <w:lang w:val="en-GB" w:eastAsia="it-IT"/>
              </w:rPr>
              <w:t>23</w:t>
            </w:r>
          </w:p>
        </w:tc>
        <w:tc>
          <w:tcPr>
            <w:tcW w:w="0" w:type="auto"/>
            <w:tcBorders>
              <w:top w:val="single" w:sz="4" w:space="0" w:color="auto"/>
            </w:tcBorders>
            <w:shd w:val="clear" w:color="auto" w:fill="auto"/>
          </w:tcPr>
          <w:p w:rsidR="003C3009" w:rsidRPr="00024336" w:rsidRDefault="003C3009" w:rsidP="006B121A">
            <w:pPr>
              <w:autoSpaceDE w:val="0"/>
              <w:autoSpaceDN w:val="0"/>
              <w:spacing w:line="240" w:lineRule="auto"/>
              <w:jc w:val="center"/>
              <w:rPr>
                <w:rFonts w:ascii="Palatino Linotype" w:eastAsia="SimSun" w:hAnsi="Palatino Linotype" w:cs="Arial"/>
                <w:color w:val="auto"/>
                <w:sz w:val="20"/>
                <w:szCs w:val="18"/>
                <w:lang w:val="en-GB" w:eastAsia="it-IT"/>
              </w:rPr>
            </w:pPr>
            <w:r w:rsidRPr="00024336">
              <w:rPr>
                <w:rFonts w:ascii="Palatino Linotype" w:eastAsia="SimSun" w:hAnsi="Palatino Linotype" w:cs="Arial"/>
                <w:color w:val="auto"/>
                <w:sz w:val="20"/>
                <w:szCs w:val="18"/>
                <w:lang w:val="en-GB" w:eastAsia="it-IT"/>
              </w:rPr>
              <w:t>35</w:t>
            </w:r>
          </w:p>
        </w:tc>
        <w:tc>
          <w:tcPr>
            <w:tcW w:w="0" w:type="auto"/>
            <w:tcBorders>
              <w:top w:val="single" w:sz="4" w:space="0" w:color="auto"/>
            </w:tcBorders>
            <w:shd w:val="clear" w:color="auto" w:fill="auto"/>
          </w:tcPr>
          <w:p w:rsidR="003C3009" w:rsidRPr="00024336" w:rsidRDefault="003C3009" w:rsidP="006B121A">
            <w:pPr>
              <w:autoSpaceDE w:val="0"/>
              <w:autoSpaceDN w:val="0"/>
              <w:spacing w:line="240" w:lineRule="auto"/>
              <w:jc w:val="center"/>
              <w:rPr>
                <w:rFonts w:ascii="Palatino Linotype" w:eastAsia="SimSun" w:hAnsi="Palatino Linotype" w:cs="Arial"/>
                <w:color w:val="auto"/>
                <w:sz w:val="20"/>
                <w:szCs w:val="18"/>
                <w:lang w:val="en-GB" w:eastAsia="it-IT"/>
              </w:rPr>
            </w:pPr>
            <w:r w:rsidRPr="00024336">
              <w:rPr>
                <w:rFonts w:ascii="Palatino Linotype" w:eastAsia="SimSun" w:hAnsi="Palatino Linotype" w:cs="Arial"/>
                <w:color w:val="auto"/>
                <w:sz w:val="20"/>
                <w:szCs w:val="18"/>
                <w:lang w:val="en-GB" w:eastAsia="it-IT"/>
              </w:rPr>
              <w:t>22</w:t>
            </w:r>
          </w:p>
        </w:tc>
        <w:tc>
          <w:tcPr>
            <w:tcW w:w="0" w:type="auto"/>
            <w:tcBorders>
              <w:top w:val="single" w:sz="4" w:space="0" w:color="auto"/>
            </w:tcBorders>
            <w:shd w:val="clear" w:color="auto" w:fill="auto"/>
          </w:tcPr>
          <w:p w:rsidR="003C3009" w:rsidRPr="00024336" w:rsidRDefault="003C3009" w:rsidP="006B121A">
            <w:pPr>
              <w:autoSpaceDE w:val="0"/>
              <w:autoSpaceDN w:val="0"/>
              <w:spacing w:line="240" w:lineRule="auto"/>
              <w:jc w:val="center"/>
              <w:rPr>
                <w:rFonts w:ascii="Palatino Linotype" w:eastAsia="SimSun" w:hAnsi="Palatino Linotype" w:cs="Arial"/>
                <w:color w:val="auto"/>
                <w:sz w:val="20"/>
                <w:szCs w:val="18"/>
                <w:lang w:val="en-GB" w:eastAsia="it-IT"/>
              </w:rPr>
            </w:pPr>
            <w:r w:rsidRPr="00024336">
              <w:rPr>
                <w:rFonts w:ascii="Palatino Linotype" w:eastAsia="SimSun" w:hAnsi="Palatino Linotype" w:cs="Arial"/>
                <w:color w:val="auto"/>
                <w:sz w:val="20"/>
                <w:szCs w:val="18"/>
                <w:lang w:val="en-GB" w:eastAsia="it-IT"/>
              </w:rPr>
              <w:t>2</w:t>
            </w:r>
          </w:p>
        </w:tc>
        <w:tc>
          <w:tcPr>
            <w:tcW w:w="0" w:type="auto"/>
            <w:tcBorders>
              <w:top w:val="single" w:sz="4" w:space="0" w:color="auto"/>
            </w:tcBorders>
            <w:shd w:val="clear" w:color="auto" w:fill="auto"/>
          </w:tcPr>
          <w:p w:rsidR="003C3009" w:rsidRPr="00024336" w:rsidRDefault="003C3009" w:rsidP="006B121A">
            <w:pPr>
              <w:autoSpaceDE w:val="0"/>
              <w:autoSpaceDN w:val="0"/>
              <w:spacing w:line="240" w:lineRule="auto"/>
              <w:jc w:val="center"/>
              <w:rPr>
                <w:rFonts w:ascii="Palatino Linotype" w:eastAsia="SimSun" w:hAnsi="Palatino Linotype" w:cs="Arial"/>
                <w:color w:val="auto"/>
                <w:sz w:val="20"/>
                <w:szCs w:val="18"/>
                <w:lang w:val="en-GB" w:eastAsia="it-IT"/>
              </w:rPr>
            </w:pPr>
            <w:r w:rsidRPr="00024336">
              <w:rPr>
                <w:rFonts w:ascii="Palatino Linotype" w:eastAsia="SimSun" w:hAnsi="Palatino Linotype" w:cs="Arial"/>
                <w:color w:val="auto"/>
                <w:sz w:val="20"/>
                <w:szCs w:val="18"/>
                <w:lang w:val="en-GB" w:eastAsia="it-IT"/>
              </w:rPr>
              <w:t>94</w:t>
            </w:r>
          </w:p>
        </w:tc>
      </w:tr>
      <w:tr w:rsidR="00EC56C7" w:rsidRPr="00024336" w:rsidTr="006B121A">
        <w:tc>
          <w:tcPr>
            <w:tcW w:w="0" w:type="auto"/>
            <w:vMerge/>
            <w:tcBorders>
              <w:bottom w:val="single" w:sz="8" w:space="0" w:color="auto"/>
            </w:tcBorders>
            <w:shd w:val="clear" w:color="auto" w:fill="auto"/>
          </w:tcPr>
          <w:p w:rsidR="003C3009" w:rsidRPr="00024336" w:rsidRDefault="003C3009" w:rsidP="006B121A">
            <w:pPr>
              <w:autoSpaceDE w:val="0"/>
              <w:autoSpaceDN w:val="0"/>
              <w:spacing w:line="240" w:lineRule="auto"/>
              <w:jc w:val="center"/>
              <w:rPr>
                <w:rFonts w:ascii="Palatino Linotype" w:eastAsia="SimSun" w:hAnsi="Palatino Linotype" w:cs="Arial"/>
                <w:color w:val="auto"/>
                <w:sz w:val="20"/>
                <w:szCs w:val="18"/>
                <w:lang w:val="en-GB" w:eastAsia="it-IT"/>
              </w:rPr>
            </w:pPr>
          </w:p>
        </w:tc>
        <w:tc>
          <w:tcPr>
            <w:tcW w:w="0" w:type="auto"/>
            <w:vMerge/>
            <w:tcBorders>
              <w:bottom w:val="single" w:sz="8" w:space="0" w:color="auto"/>
            </w:tcBorders>
            <w:shd w:val="clear" w:color="auto" w:fill="auto"/>
          </w:tcPr>
          <w:p w:rsidR="003C3009" w:rsidRPr="00024336" w:rsidRDefault="003C3009" w:rsidP="006B121A">
            <w:pPr>
              <w:autoSpaceDE w:val="0"/>
              <w:autoSpaceDN w:val="0"/>
              <w:spacing w:line="240" w:lineRule="auto"/>
              <w:jc w:val="center"/>
              <w:rPr>
                <w:rFonts w:ascii="Palatino Linotype" w:eastAsia="SimSun" w:hAnsi="Palatino Linotype" w:cs="Arial"/>
                <w:color w:val="auto"/>
                <w:sz w:val="20"/>
                <w:szCs w:val="18"/>
                <w:lang w:val="en-GB" w:eastAsia="it-IT"/>
              </w:rPr>
            </w:pPr>
          </w:p>
        </w:tc>
        <w:tc>
          <w:tcPr>
            <w:tcW w:w="0" w:type="auto"/>
            <w:tcBorders>
              <w:bottom w:val="single" w:sz="8" w:space="0" w:color="auto"/>
            </w:tcBorders>
            <w:shd w:val="clear" w:color="auto" w:fill="auto"/>
          </w:tcPr>
          <w:p w:rsidR="003C3009" w:rsidRPr="00024336" w:rsidRDefault="003C3009" w:rsidP="006B121A">
            <w:pPr>
              <w:autoSpaceDE w:val="0"/>
              <w:autoSpaceDN w:val="0"/>
              <w:spacing w:line="240" w:lineRule="auto"/>
              <w:jc w:val="center"/>
              <w:rPr>
                <w:rFonts w:ascii="Palatino Linotype" w:eastAsia="SimSun" w:hAnsi="Palatino Linotype" w:cs="Arial"/>
                <w:color w:val="auto"/>
                <w:sz w:val="20"/>
                <w:szCs w:val="18"/>
                <w:lang w:val="en-GB" w:eastAsia="it-IT"/>
              </w:rPr>
            </w:pPr>
            <w:r w:rsidRPr="00024336">
              <w:rPr>
                <w:rFonts w:ascii="Palatino Linotype" w:eastAsia="SimSun" w:hAnsi="Palatino Linotype" w:cs="Arial"/>
                <w:color w:val="auto"/>
                <w:sz w:val="20"/>
                <w:szCs w:val="18"/>
                <w:lang w:val="en-GB" w:eastAsia="it-IT"/>
              </w:rPr>
              <w:t>Percentage</w:t>
            </w:r>
          </w:p>
        </w:tc>
        <w:tc>
          <w:tcPr>
            <w:tcW w:w="0" w:type="auto"/>
            <w:tcBorders>
              <w:bottom w:val="single" w:sz="8" w:space="0" w:color="auto"/>
            </w:tcBorders>
            <w:shd w:val="clear" w:color="auto" w:fill="auto"/>
          </w:tcPr>
          <w:p w:rsidR="003C3009" w:rsidRPr="00024336" w:rsidRDefault="003C3009" w:rsidP="006B121A">
            <w:pPr>
              <w:autoSpaceDE w:val="0"/>
              <w:autoSpaceDN w:val="0"/>
              <w:spacing w:line="240" w:lineRule="auto"/>
              <w:jc w:val="center"/>
              <w:rPr>
                <w:rFonts w:ascii="Palatino Linotype" w:eastAsia="SimSun" w:hAnsi="Palatino Linotype" w:cs="Arial"/>
                <w:color w:val="auto"/>
                <w:sz w:val="20"/>
                <w:szCs w:val="18"/>
                <w:lang w:val="en-GB" w:eastAsia="it-IT"/>
              </w:rPr>
            </w:pPr>
            <w:r w:rsidRPr="00024336">
              <w:rPr>
                <w:rFonts w:ascii="Palatino Linotype" w:eastAsia="SimSun" w:hAnsi="Palatino Linotype" w:cs="Arial"/>
                <w:color w:val="auto"/>
                <w:sz w:val="20"/>
                <w:szCs w:val="18"/>
                <w:lang w:val="en-GB" w:eastAsia="it-IT"/>
              </w:rPr>
              <w:t>80.0%</w:t>
            </w:r>
          </w:p>
        </w:tc>
        <w:tc>
          <w:tcPr>
            <w:tcW w:w="0" w:type="auto"/>
            <w:tcBorders>
              <w:bottom w:val="single" w:sz="8" w:space="0" w:color="auto"/>
            </w:tcBorders>
            <w:shd w:val="clear" w:color="auto" w:fill="auto"/>
          </w:tcPr>
          <w:p w:rsidR="003C3009" w:rsidRPr="00024336" w:rsidRDefault="003C3009" w:rsidP="006B121A">
            <w:pPr>
              <w:autoSpaceDE w:val="0"/>
              <w:autoSpaceDN w:val="0"/>
              <w:spacing w:line="240" w:lineRule="auto"/>
              <w:jc w:val="center"/>
              <w:rPr>
                <w:rFonts w:ascii="Palatino Linotype" w:eastAsia="SimSun" w:hAnsi="Palatino Linotype" w:cs="Arial"/>
                <w:color w:val="auto"/>
                <w:sz w:val="20"/>
                <w:szCs w:val="18"/>
                <w:lang w:val="en-GB" w:eastAsia="it-IT"/>
              </w:rPr>
            </w:pPr>
            <w:r w:rsidRPr="00024336">
              <w:rPr>
                <w:rFonts w:ascii="Palatino Linotype" w:eastAsia="SimSun" w:hAnsi="Palatino Linotype" w:cs="Arial"/>
                <w:color w:val="auto"/>
                <w:sz w:val="20"/>
                <w:szCs w:val="18"/>
                <w:lang w:val="en-GB" w:eastAsia="it-IT"/>
              </w:rPr>
              <w:t>65.7%</w:t>
            </w:r>
          </w:p>
        </w:tc>
        <w:tc>
          <w:tcPr>
            <w:tcW w:w="0" w:type="auto"/>
            <w:tcBorders>
              <w:bottom w:val="single" w:sz="8" w:space="0" w:color="auto"/>
            </w:tcBorders>
            <w:shd w:val="clear" w:color="auto" w:fill="auto"/>
          </w:tcPr>
          <w:p w:rsidR="003C3009" w:rsidRPr="00024336" w:rsidRDefault="003C3009" w:rsidP="006B121A">
            <w:pPr>
              <w:autoSpaceDE w:val="0"/>
              <w:autoSpaceDN w:val="0"/>
              <w:spacing w:line="240" w:lineRule="auto"/>
              <w:jc w:val="center"/>
              <w:rPr>
                <w:rFonts w:ascii="Palatino Linotype" w:eastAsia="SimSun" w:hAnsi="Palatino Linotype" w:cs="Arial"/>
                <w:color w:val="auto"/>
                <w:sz w:val="20"/>
                <w:szCs w:val="18"/>
                <w:lang w:val="en-GB" w:eastAsia="it-IT"/>
              </w:rPr>
            </w:pPr>
            <w:r w:rsidRPr="00024336">
              <w:rPr>
                <w:rFonts w:ascii="Palatino Linotype" w:eastAsia="SimSun" w:hAnsi="Palatino Linotype" w:cs="Arial"/>
                <w:color w:val="auto"/>
                <w:sz w:val="20"/>
                <w:szCs w:val="18"/>
                <w:lang w:val="en-GB" w:eastAsia="it-IT"/>
              </w:rPr>
              <w:t>58.3%</w:t>
            </w:r>
          </w:p>
        </w:tc>
        <w:tc>
          <w:tcPr>
            <w:tcW w:w="0" w:type="auto"/>
            <w:tcBorders>
              <w:bottom w:val="single" w:sz="8" w:space="0" w:color="auto"/>
            </w:tcBorders>
            <w:shd w:val="clear" w:color="auto" w:fill="auto"/>
          </w:tcPr>
          <w:p w:rsidR="003C3009" w:rsidRPr="00024336" w:rsidRDefault="003C3009" w:rsidP="006B121A">
            <w:pPr>
              <w:autoSpaceDE w:val="0"/>
              <w:autoSpaceDN w:val="0"/>
              <w:spacing w:line="240" w:lineRule="auto"/>
              <w:jc w:val="center"/>
              <w:rPr>
                <w:rFonts w:ascii="Palatino Linotype" w:eastAsia="SimSun" w:hAnsi="Palatino Linotype" w:cs="Arial"/>
                <w:color w:val="auto"/>
                <w:sz w:val="20"/>
                <w:szCs w:val="18"/>
                <w:lang w:val="en-GB" w:eastAsia="it-IT"/>
              </w:rPr>
            </w:pPr>
            <w:r w:rsidRPr="00024336">
              <w:rPr>
                <w:rFonts w:ascii="Palatino Linotype" w:eastAsia="SimSun" w:hAnsi="Palatino Linotype" w:cs="Arial"/>
                <w:color w:val="auto"/>
                <w:sz w:val="20"/>
                <w:szCs w:val="18"/>
                <w:lang w:val="en-GB" w:eastAsia="it-IT"/>
              </w:rPr>
              <w:t>50.0%</w:t>
            </w:r>
          </w:p>
        </w:tc>
        <w:tc>
          <w:tcPr>
            <w:tcW w:w="0" w:type="auto"/>
            <w:tcBorders>
              <w:bottom w:val="single" w:sz="8" w:space="0" w:color="auto"/>
            </w:tcBorders>
            <w:shd w:val="clear" w:color="auto" w:fill="auto"/>
          </w:tcPr>
          <w:p w:rsidR="003C3009" w:rsidRPr="00024336" w:rsidRDefault="003C3009" w:rsidP="006B121A">
            <w:pPr>
              <w:autoSpaceDE w:val="0"/>
              <w:autoSpaceDN w:val="0"/>
              <w:spacing w:line="240" w:lineRule="auto"/>
              <w:jc w:val="center"/>
              <w:rPr>
                <w:rFonts w:ascii="Palatino Linotype" w:eastAsia="SimSun" w:hAnsi="Palatino Linotype" w:cs="Arial"/>
                <w:color w:val="auto"/>
                <w:sz w:val="20"/>
                <w:szCs w:val="18"/>
                <w:lang w:val="en-GB" w:eastAsia="it-IT"/>
              </w:rPr>
            </w:pPr>
            <w:r w:rsidRPr="00024336">
              <w:rPr>
                <w:rFonts w:ascii="Palatino Linotype" w:eastAsia="SimSun" w:hAnsi="Palatino Linotype" w:cs="Arial"/>
                <w:color w:val="auto"/>
                <w:sz w:val="20"/>
                <w:szCs w:val="18"/>
                <w:lang w:val="en-GB" w:eastAsia="it-IT"/>
              </w:rPr>
              <w:t>50.0%</w:t>
            </w:r>
          </w:p>
        </w:tc>
        <w:tc>
          <w:tcPr>
            <w:tcW w:w="0" w:type="auto"/>
            <w:tcBorders>
              <w:bottom w:val="single" w:sz="8" w:space="0" w:color="auto"/>
            </w:tcBorders>
            <w:shd w:val="clear" w:color="auto" w:fill="auto"/>
          </w:tcPr>
          <w:p w:rsidR="003C3009" w:rsidRPr="00024336" w:rsidRDefault="003C3009" w:rsidP="006B121A">
            <w:pPr>
              <w:autoSpaceDE w:val="0"/>
              <w:autoSpaceDN w:val="0"/>
              <w:spacing w:line="240" w:lineRule="auto"/>
              <w:jc w:val="center"/>
              <w:rPr>
                <w:rFonts w:ascii="Palatino Linotype" w:eastAsia="SimSun" w:hAnsi="Palatino Linotype" w:cs="Arial"/>
                <w:color w:val="auto"/>
                <w:sz w:val="20"/>
                <w:szCs w:val="18"/>
                <w:lang w:val="en-GB" w:eastAsia="it-IT"/>
              </w:rPr>
            </w:pPr>
            <w:r w:rsidRPr="00024336">
              <w:rPr>
                <w:rFonts w:ascii="Palatino Linotype" w:eastAsia="SimSun" w:hAnsi="Palatino Linotype" w:cs="Arial"/>
                <w:color w:val="auto"/>
                <w:sz w:val="20"/>
                <w:szCs w:val="18"/>
                <w:lang w:val="en-GB" w:eastAsia="it-IT"/>
              </w:rPr>
              <w:t>59.5%</w:t>
            </w:r>
          </w:p>
        </w:tc>
      </w:tr>
    </w:tbl>
    <w:p w:rsidR="003C3009" w:rsidRPr="00024336" w:rsidRDefault="003C3009" w:rsidP="00B055E4">
      <w:pPr>
        <w:pStyle w:val="MDPI43tablefooter"/>
        <w:jc w:val="center"/>
        <w:rPr>
          <w:rFonts w:eastAsia="SimSun"/>
          <w:lang w:eastAsia="it-IT"/>
        </w:rPr>
      </w:pPr>
      <w:r w:rsidRPr="00024336">
        <w:rPr>
          <w:rFonts w:eastAsia="SimSun"/>
          <w:lang w:eastAsia="it-IT"/>
        </w:rPr>
        <w:t>Chi Square (</w:t>
      </w:r>
      <w:r w:rsidRPr="00024336">
        <w:rPr>
          <w:lang w:val="en-GB"/>
        </w:rPr>
        <w:t>X</w:t>
      </w:r>
      <w:r w:rsidRPr="00024336">
        <w:rPr>
          <w:vertAlign w:val="superscript"/>
          <w:lang w:val="en-GB"/>
        </w:rPr>
        <w:t>2</w:t>
      </w:r>
      <w:r w:rsidRPr="00024336">
        <w:rPr>
          <w:lang w:val="en-GB"/>
        </w:rPr>
        <w:t xml:space="preserve">) </w:t>
      </w:r>
      <w:r w:rsidRPr="00024336">
        <w:rPr>
          <w:rFonts w:eastAsia="SimSun"/>
          <w:lang w:eastAsia="it-IT"/>
        </w:rPr>
        <w:t xml:space="preserve">for trend = 4.714; </w:t>
      </w:r>
      <w:r w:rsidR="00363308" w:rsidRPr="00024336">
        <w:rPr>
          <w:rFonts w:eastAsia="SimSun"/>
          <w:i/>
          <w:lang w:eastAsia="it-IT"/>
        </w:rPr>
        <w:t>p</w:t>
      </w:r>
      <w:r w:rsidRPr="00024336">
        <w:rPr>
          <w:rFonts w:eastAsia="SimSun"/>
          <w:lang w:eastAsia="it-IT"/>
        </w:rPr>
        <w:t xml:space="preserve"> = 0.030.</w:t>
      </w:r>
    </w:p>
    <w:p w:rsidR="00220F22" w:rsidRPr="00024336" w:rsidRDefault="003C3009" w:rsidP="00220F22">
      <w:pPr>
        <w:pStyle w:val="MDPI31text"/>
        <w:rPr>
          <w:lang w:val="en-GB"/>
        </w:rPr>
      </w:pPr>
      <w:r w:rsidRPr="00024336">
        <w:rPr>
          <w:lang w:val="en-GB"/>
        </w:rPr>
        <w:t>Interestingly, we observed important differences by gender: while girls became less compliant from elementary until high school, boys showed a steadier grade of diet adherence throughout the education stages. The percentage of girls with excellent adherence, indeed, dropped significantly from 75% at elementary school to 60.7% at middle school till 40.5% at high school (X</w:t>
      </w:r>
      <w:r w:rsidRPr="00024336">
        <w:rPr>
          <w:vertAlign w:val="superscript"/>
          <w:lang w:val="en-GB"/>
        </w:rPr>
        <w:t>2</w:t>
      </w:r>
      <w:r w:rsidR="007316DE" w:rsidRPr="00024336">
        <w:rPr>
          <w:lang w:val="en-GB"/>
        </w:rPr>
        <w:t>=</w:t>
      </w:r>
      <w:r w:rsidRPr="00024336">
        <w:rPr>
          <w:lang w:val="en-GB"/>
        </w:rPr>
        <w:t xml:space="preserve"> 11.2; </w:t>
      </w:r>
      <w:r w:rsidR="00363308" w:rsidRPr="00024336">
        <w:rPr>
          <w:i/>
          <w:lang w:val="en-GB"/>
        </w:rPr>
        <w:t>p</w:t>
      </w:r>
      <w:r w:rsidR="002C2B83" w:rsidRPr="00024336">
        <w:rPr>
          <w:i/>
          <w:lang w:val="en-GB"/>
        </w:rPr>
        <w:t xml:space="preserve"> =</w:t>
      </w:r>
      <w:r w:rsidRPr="00024336">
        <w:rPr>
          <w:lang w:val="en-GB"/>
        </w:rPr>
        <w:t xml:space="preserve"> 0.02). Boys, instead, showed stable levels of diet adherence throughout the school period, being the percentage of patients with excellent adherence 63.6%, 60% and 59.1%, respectively at elementary, middle</w:t>
      </w:r>
      <w:r w:rsidR="0092347C" w:rsidRPr="00024336">
        <w:rPr>
          <w:lang w:val="en-GB"/>
        </w:rPr>
        <w:t>,</w:t>
      </w:r>
      <w:r w:rsidRPr="00024336">
        <w:rPr>
          <w:lang w:val="en-GB"/>
        </w:rPr>
        <w:t xml:space="preserve"> and high school (Table 5).</w:t>
      </w:r>
    </w:p>
    <w:p w:rsidR="00220F22" w:rsidRPr="00024336" w:rsidRDefault="00220F22">
      <w:pPr>
        <w:spacing w:line="240" w:lineRule="auto"/>
        <w:jc w:val="left"/>
        <w:rPr>
          <w:rFonts w:ascii="Palatino Linotype" w:hAnsi="Palatino Linotype"/>
          <w:snapToGrid w:val="0"/>
          <w:sz w:val="20"/>
          <w:szCs w:val="22"/>
          <w:lang w:val="en-GB" w:bidi="en-US"/>
        </w:rPr>
      </w:pPr>
      <w:r w:rsidRPr="00024336">
        <w:rPr>
          <w:lang w:val="en-GB"/>
        </w:rPr>
        <w:br w:type="page"/>
      </w:r>
    </w:p>
    <w:p w:rsidR="003C3009" w:rsidRPr="00024336" w:rsidRDefault="00220F22" w:rsidP="00220F22">
      <w:pPr>
        <w:pStyle w:val="MDPI41tablecaption"/>
        <w:jc w:val="center"/>
        <w:rPr>
          <w:lang w:val="en-GB"/>
        </w:rPr>
      </w:pPr>
      <w:r w:rsidRPr="00024336">
        <w:rPr>
          <w:b/>
          <w:bCs/>
          <w:lang w:val="en-GB"/>
        </w:rPr>
        <w:lastRenderedPageBreak/>
        <w:t xml:space="preserve">Table 5. </w:t>
      </w:r>
      <w:r w:rsidR="003C3009" w:rsidRPr="00024336">
        <w:rPr>
          <w:lang w:val="en-GB"/>
        </w:rPr>
        <w:t>Difference in diet adherence between boys and girls throughout the education stages.</w:t>
      </w:r>
    </w:p>
    <w:tbl>
      <w:tblPr>
        <w:tblStyle w:val="MDPI41threelinetable"/>
        <w:tblW w:w="0" w:type="auto"/>
        <w:tblLook w:val="0000"/>
      </w:tblPr>
      <w:tblGrid>
        <w:gridCol w:w="649"/>
        <w:gridCol w:w="1182"/>
        <w:gridCol w:w="1027"/>
        <w:gridCol w:w="1947"/>
        <w:gridCol w:w="1260"/>
        <w:gridCol w:w="894"/>
        <w:gridCol w:w="734"/>
        <w:gridCol w:w="734"/>
      </w:tblGrid>
      <w:tr w:rsidR="00EC56C7" w:rsidRPr="00024336" w:rsidTr="006B121A">
        <w:tc>
          <w:tcPr>
            <w:tcW w:w="0" w:type="auto"/>
            <w:gridSpan w:val="4"/>
            <w:vMerge w:val="restart"/>
            <w:tcBorders>
              <w:top w:val="single" w:sz="8" w:space="0" w:color="auto"/>
              <w:bottom w:val="nil"/>
            </w:tcBorders>
            <w:shd w:val="clear" w:color="auto" w:fill="auto"/>
          </w:tcPr>
          <w:p w:rsidR="003C3009" w:rsidRPr="00024336" w:rsidRDefault="003C3009" w:rsidP="006B121A">
            <w:pPr>
              <w:autoSpaceDE w:val="0"/>
              <w:autoSpaceDN w:val="0"/>
              <w:spacing w:line="240" w:lineRule="auto"/>
              <w:jc w:val="center"/>
              <w:rPr>
                <w:rFonts w:ascii="Palatino Linotype" w:eastAsia="SimSun" w:hAnsi="Palatino Linotype" w:cs="Arial"/>
                <w:b/>
                <w:bCs/>
                <w:color w:val="auto"/>
                <w:sz w:val="20"/>
                <w:szCs w:val="18"/>
                <w:lang w:val="en-GB" w:eastAsia="it-IT"/>
              </w:rPr>
            </w:pPr>
            <w:r w:rsidRPr="00024336">
              <w:rPr>
                <w:rFonts w:ascii="Palatino Linotype" w:eastAsia="SimSun" w:hAnsi="Palatino Linotype" w:cs="Arial"/>
                <w:b/>
                <w:bCs/>
                <w:color w:val="auto"/>
                <w:sz w:val="20"/>
                <w:szCs w:val="18"/>
                <w:lang w:val="en-GB" w:eastAsia="it-IT"/>
              </w:rPr>
              <w:t>Gender</w:t>
            </w:r>
          </w:p>
        </w:tc>
        <w:tc>
          <w:tcPr>
            <w:tcW w:w="0" w:type="auto"/>
            <w:gridSpan w:val="3"/>
            <w:tcBorders>
              <w:top w:val="single" w:sz="8" w:space="0" w:color="auto"/>
              <w:bottom w:val="single" w:sz="4" w:space="0" w:color="auto"/>
            </w:tcBorders>
            <w:shd w:val="clear" w:color="auto" w:fill="auto"/>
          </w:tcPr>
          <w:p w:rsidR="003C3009" w:rsidRPr="00024336" w:rsidRDefault="003C3009" w:rsidP="006B121A">
            <w:pPr>
              <w:autoSpaceDE w:val="0"/>
              <w:autoSpaceDN w:val="0"/>
              <w:spacing w:line="240" w:lineRule="auto"/>
              <w:jc w:val="center"/>
              <w:rPr>
                <w:rFonts w:ascii="Palatino Linotype" w:eastAsia="SimSun" w:hAnsi="Palatino Linotype" w:cs="Arial"/>
                <w:b/>
                <w:bCs/>
                <w:color w:val="auto"/>
                <w:sz w:val="20"/>
                <w:szCs w:val="18"/>
                <w:lang w:val="en-GB" w:eastAsia="it-IT"/>
              </w:rPr>
            </w:pPr>
            <w:r w:rsidRPr="00024336">
              <w:rPr>
                <w:rFonts w:ascii="Palatino Linotype" w:eastAsia="SimSun" w:hAnsi="Palatino Linotype" w:cs="Arial"/>
                <w:b/>
                <w:bCs/>
                <w:color w:val="auto"/>
                <w:sz w:val="20"/>
                <w:szCs w:val="18"/>
                <w:lang w:val="en-GB" w:eastAsia="it-IT"/>
              </w:rPr>
              <w:t>School</w:t>
            </w:r>
          </w:p>
        </w:tc>
        <w:tc>
          <w:tcPr>
            <w:tcW w:w="0" w:type="auto"/>
            <w:vMerge w:val="restart"/>
            <w:tcBorders>
              <w:top w:val="single" w:sz="8" w:space="0" w:color="auto"/>
              <w:bottom w:val="single" w:sz="4" w:space="0" w:color="auto"/>
            </w:tcBorders>
            <w:shd w:val="clear" w:color="auto" w:fill="auto"/>
          </w:tcPr>
          <w:p w:rsidR="003C3009" w:rsidRPr="00024336" w:rsidRDefault="003C3009" w:rsidP="006B121A">
            <w:pPr>
              <w:autoSpaceDE w:val="0"/>
              <w:autoSpaceDN w:val="0"/>
              <w:spacing w:line="240" w:lineRule="auto"/>
              <w:jc w:val="center"/>
              <w:rPr>
                <w:rFonts w:ascii="Palatino Linotype" w:eastAsia="SimSun" w:hAnsi="Palatino Linotype" w:cs="Arial"/>
                <w:b/>
                <w:color w:val="auto"/>
                <w:sz w:val="20"/>
                <w:szCs w:val="18"/>
                <w:lang w:val="en-GB" w:eastAsia="it-IT"/>
              </w:rPr>
            </w:pPr>
            <w:r w:rsidRPr="00024336">
              <w:rPr>
                <w:rFonts w:ascii="Palatino Linotype" w:eastAsia="SimSun" w:hAnsi="Palatino Linotype" w:cs="Arial"/>
                <w:b/>
                <w:color w:val="auto"/>
                <w:sz w:val="20"/>
                <w:szCs w:val="18"/>
                <w:lang w:val="en-GB" w:eastAsia="it-IT"/>
              </w:rPr>
              <w:t>Total</w:t>
            </w:r>
          </w:p>
        </w:tc>
      </w:tr>
      <w:tr w:rsidR="00EC56C7" w:rsidRPr="00024336" w:rsidTr="006B121A">
        <w:tc>
          <w:tcPr>
            <w:tcW w:w="0" w:type="auto"/>
            <w:gridSpan w:val="4"/>
            <w:vMerge/>
            <w:tcBorders>
              <w:top w:val="nil"/>
              <w:bottom w:val="single" w:sz="4" w:space="0" w:color="auto"/>
            </w:tcBorders>
            <w:shd w:val="clear" w:color="auto" w:fill="auto"/>
          </w:tcPr>
          <w:p w:rsidR="003C3009" w:rsidRPr="00024336" w:rsidRDefault="003C3009" w:rsidP="006B121A">
            <w:pPr>
              <w:autoSpaceDE w:val="0"/>
              <w:autoSpaceDN w:val="0"/>
              <w:spacing w:line="240" w:lineRule="auto"/>
              <w:jc w:val="center"/>
              <w:rPr>
                <w:rFonts w:ascii="Palatino Linotype" w:eastAsia="SimSun" w:hAnsi="Palatino Linotype" w:cs="Arial"/>
                <w:color w:val="auto"/>
                <w:sz w:val="20"/>
                <w:szCs w:val="18"/>
                <w:lang w:val="en-GB" w:eastAsia="it-IT"/>
              </w:rPr>
            </w:pPr>
          </w:p>
        </w:tc>
        <w:tc>
          <w:tcPr>
            <w:tcW w:w="0" w:type="auto"/>
            <w:tcBorders>
              <w:top w:val="single" w:sz="4" w:space="0" w:color="auto"/>
              <w:bottom w:val="single" w:sz="4" w:space="0" w:color="auto"/>
            </w:tcBorders>
            <w:shd w:val="clear" w:color="auto" w:fill="auto"/>
          </w:tcPr>
          <w:p w:rsidR="003C3009" w:rsidRPr="00024336" w:rsidRDefault="003C3009" w:rsidP="006B121A">
            <w:pPr>
              <w:autoSpaceDE w:val="0"/>
              <w:autoSpaceDN w:val="0"/>
              <w:spacing w:line="240" w:lineRule="auto"/>
              <w:jc w:val="center"/>
              <w:rPr>
                <w:rFonts w:ascii="Palatino Linotype" w:eastAsia="SimSun" w:hAnsi="Palatino Linotype" w:cs="Arial"/>
                <w:b/>
                <w:bCs/>
                <w:color w:val="auto"/>
                <w:sz w:val="20"/>
                <w:szCs w:val="18"/>
                <w:lang w:val="en-GB" w:eastAsia="it-IT"/>
              </w:rPr>
            </w:pPr>
            <w:r w:rsidRPr="00024336">
              <w:rPr>
                <w:rFonts w:ascii="Palatino Linotype" w:eastAsia="SimSun" w:hAnsi="Palatino Linotype" w:cs="Arial"/>
                <w:b/>
                <w:bCs/>
                <w:color w:val="auto"/>
                <w:sz w:val="20"/>
                <w:szCs w:val="18"/>
                <w:lang w:val="en-GB" w:eastAsia="it-IT"/>
              </w:rPr>
              <w:t>Elementary</w:t>
            </w:r>
          </w:p>
        </w:tc>
        <w:tc>
          <w:tcPr>
            <w:tcW w:w="0" w:type="auto"/>
            <w:tcBorders>
              <w:top w:val="single" w:sz="4" w:space="0" w:color="auto"/>
              <w:bottom w:val="single" w:sz="4" w:space="0" w:color="auto"/>
            </w:tcBorders>
            <w:shd w:val="clear" w:color="auto" w:fill="auto"/>
          </w:tcPr>
          <w:p w:rsidR="003C3009" w:rsidRPr="00024336" w:rsidRDefault="003C3009" w:rsidP="006B121A">
            <w:pPr>
              <w:autoSpaceDE w:val="0"/>
              <w:autoSpaceDN w:val="0"/>
              <w:spacing w:line="240" w:lineRule="auto"/>
              <w:jc w:val="center"/>
              <w:rPr>
                <w:rFonts w:ascii="Palatino Linotype" w:eastAsia="SimSun" w:hAnsi="Palatino Linotype" w:cs="Arial"/>
                <w:b/>
                <w:bCs/>
                <w:color w:val="auto"/>
                <w:sz w:val="20"/>
                <w:szCs w:val="18"/>
                <w:lang w:val="en-GB" w:eastAsia="it-IT"/>
              </w:rPr>
            </w:pPr>
            <w:r w:rsidRPr="00024336">
              <w:rPr>
                <w:rFonts w:ascii="Palatino Linotype" w:eastAsia="SimSun" w:hAnsi="Palatino Linotype" w:cs="Arial"/>
                <w:b/>
                <w:bCs/>
                <w:color w:val="auto"/>
                <w:sz w:val="20"/>
                <w:szCs w:val="18"/>
                <w:lang w:val="en-GB" w:eastAsia="it-IT"/>
              </w:rPr>
              <w:t>Middle</w:t>
            </w:r>
          </w:p>
        </w:tc>
        <w:tc>
          <w:tcPr>
            <w:tcW w:w="0" w:type="auto"/>
            <w:tcBorders>
              <w:top w:val="single" w:sz="4" w:space="0" w:color="auto"/>
              <w:bottom w:val="single" w:sz="4" w:space="0" w:color="auto"/>
            </w:tcBorders>
            <w:shd w:val="clear" w:color="auto" w:fill="auto"/>
          </w:tcPr>
          <w:p w:rsidR="003C3009" w:rsidRPr="00024336" w:rsidRDefault="003C3009" w:rsidP="006B121A">
            <w:pPr>
              <w:autoSpaceDE w:val="0"/>
              <w:autoSpaceDN w:val="0"/>
              <w:spacing w:line="240" w:lineRule="auto"/>
              <w:jc w:val="center"/>
              <w:rPr>
                <w:rFonts w:ascii="Palatino Linotype" w:eastAsia="SimSun" w:hAnsi="Palatino Linotype" w:cs="Arial"/>
                <w:b/>
                <w:bCs/>
                <w:color w:val="auto"/>
                <w:sz w:val="20"/>
                <w:szCs w:val="18"/>
                <w:lang w:val="en-GB" w:eastAsia="it-IT"/>
              </w:rPr>
            </w:pPr>
            <w:r w:rsidRPr="00024336">
              <w:rPr>
                <w:rFonts w:ascii="Palatino Linotype" w:eastAsia="SimSun" w:hAnsi="Palatino Linotype" w:cs="Arial"/>
                <w:b/>
                <w:bCs/>
                <w:color w:val="auto"/>
                <w:sz w:val="20"/>
                <w:szCs w:val="18"/>
                <w:lang w:val="en-GB" w:eastAsia="it-IT"/>
              </w:rPr>
              <w:t>High</w:t>
            </w:r>
          </w:p>
        </w:tc>
        <w:tc>
          <w:tcPr>
            <w:tcW w:w="0" w:type="auto"/>
            <w:vMerge/>
            <w:tcBorders>
              <w:top w:val="single" w:sz="4" w:space="0" w:color="auto"/>
              <w:bottom w:val="single" w:sz="4" w:space="0" w:color="auto"/>
            </w:tcBorders>
            <w:shd w:val="clear" w:color="auto" w:fill="auto"/>
          </w:tcPr>
          <w:p w:rsidR="003C3009" w:rsidRPr="00024336" w:rsidRDefault="003C3009" w:rsidP="006B121A">
            <w:pPr>
              <w:autoSpaceDE w:val="0"/>
              <w:autoSpaceDN w:val="0"/>
              <w:spacing w:line="240" w:lineRule="auto"/>
              <w:jc w:val="center"/>
              <w:rPr>
                <w:rFonts w:ascii="Palatino Linotype" w:eastAsia="SimSun" w:hAnsi="Palatino Linotype" w:cs="Arial"/>
                <w:color w:val="auto"/>
                <w:sz w:val="20"/>
                <w:szCs w:val="18"/>
                <w:lang w:val="en-GB" w:eastAsia="it-IT"/>
              </w:rPr>
            </w:pPr>
          </w:p>
        </w:tc>
      </w:tr>
      <w:tr w:rsidR="00EC56C7" w:rsidRPr="00024336" w:rsidTr="006B121A">
        <w:tc>
          <w:tcPr>
            <w:tcW w:w="0" w:type="auto"/>
            <w:vMerge w:val="restart"/>
            <w:tcBorders>
              <w:top w:val="single" w:sz="4" w:space="0" w:color="auto"/>
            </w:tcBorders>
            <w:shd w:val="clear" w:color="auto" w:fill="auto"/>
          </w:tcPr>
          <w:p w:rsidR="003C3009" w:rsidRPr="00024336" w:rsidRDefault="003C3009" w:rsidP="006B121A">
            <w:pPr>
              <w:autoSpaceDE w:val="0"/>
              <w:autoSpaceDN w:val="0"/>
              <w:spacing w:line="240" w:lineRule="auto"/>
              <w:jc w:val="center"/>
              <w:rPr>
                <w:rFonts w:ascii="Palatino Linotype" w:eastAsia="SimSun" w:hAnsi="Palatino Linotype" w:cs="Arial"/>
                <w:color w:val="auto"/>
                <w:sz w:val="20"/>
                <w:szCs w:val="18"/>
                <w:lang w:val="en-GB" w:eastAsia="it-IT"/>
              </w:rPr>
            </w:pPr>
            <w:r w:rsidRPr="00024336">
              <w:rPr>
                <w:rFonts w:ascii="Palatino Linotype" w:eastAsia="SimSun" w:hAnsi="Palatino Linotype" w:cs="Arial"/>
                <w:color w:val="auto"/>
                <w:sz w:val="20"/>
                <w:szCs w:val="18"/>
                <w:lang w:val="en-GB" w:eastAsia="it-IT"/>
              </w:rPr>
              <w:t>Girls</w:t>
            </w:r>
          </w:p>
        </w:tc>
        <w:tc>
          <w:tcPr>
            <w:tcW w:w="0" w:type="auto"/>
            <w:vMerge w:val="restart"/>
            <w:tcBorders>
              <w:top w:val="single" w:sz="4" w:space="0" w:color="auto"/>
            </w:tcBorders>
            <w:shd w:val="clear" w:color="auto" w:fill="auto"/>
          </w:tcPr>
          <w:p w:rsidR="003C3009" w:rsidRPr="00024336" w:rsidRDefault="003C3009" w:rsidP="006B121A">
            <w:pPr>
              <w:autoSpaceDE w:val="0"/>
              <w:autoSpaceDN w:val="0"/>
              <w:spacing w:line="240" w:lineRule="auto"/>
              <w:jc w:val="center"/>
              <w:rPr>
                <w:rFonts w:ascii="Palatino Linotype" w:eastAsia="SimSun" w:hAnsi="Palatino Linotype" w:cs="Arial"/>
                <w:color w:val="auto"/>
                <w:sz w:val="20"/>
                <w:szCs w:val="18"/>
                <w:lang w:val="en-GB" w:eastAsia="it-IT"/>
              </w:rPr>
            </w:pPr>
            <w:r w:rsidRPr="00024336">
              <w:rPr>
                <w:rFonts w:ascii="Palatino Linotype" w:eastAsia="SimSun" w:hAnsi="Palatino Linotype" w:cs="Arial"/>
                <w:color w:val="auto"/>
                <w:sz w:val="20"/>
                <w:szCs w:val="18"/>
                <w:lang w:val="en-GB" w:eastAsia="it-IT"/>
              </w:rPr>
              <w:t>Adherence</w:t>
            </w:r>
          </w:p>
        </w:tc>
        <w:tc>
          <w:tcPr>
            <w:tcW w:w="0" w:type="auto"/>
            <w:vMerge w:val="restart"/>
            <w:tcBorders>
              <w:top w:val="single" w:sz="4" w:space="0" w:color="auto"/>
              <w:bottom w:val="nil"/>
            </w:tcBorders>
            <w:shd w:val="clear" w:color="auto" w:fill="auto"/>
          </w:tcPr>
          <w:p w:rsidR="003C3009" w:rsidRPr="00024336" w:rsidRDefault="003C3009" w:rsidP="006B121A">
            <w:pPr>
              <w:autoSpaceDE w:val="0"/>
              <w:autoSpaceDN w:val="0"/>
              <w:spacing w:line="240" w:lineRule="auto"/>
              <w:jc w:val="center"/>
              <w:rPr>
                <w:rFonts w:ascii="Palatino Linotype" w:eastAsia="SimSun" w:hAnsi="Palatino Linotype" w:cs="Arial"/>
                <w:color w:val="auto"/>
                <w:sz w:val="20"/>
                <w:szCs w:val="18"/>
                <w:lang w:val="en-GB" w:eastAsia="it-IT"/>
              </w:rPr>
            </w:pPr>
            <w:r w:rsidRPr="00024336">
              <w:rPr>
                <w:rFonts w:ascii="Palatino Linotype" w:eastAsia="SimSun" w:hAnsi="Palatino Linotype" w:cs="Arial"/>
                <w:color w:val="auto"/>
                <w:sz w:val="20"/>
                <w:szCs w:val="18"/>
                <w:lang w:val="en-GB" w:eastAsia="it-IT"/>
              </w:rPr>
              <w:t>Fair/Low</w:t>
            </w:r>
          </w:p>
        </w:tc>
        <w:tc>
          <w:tcPr>
            <w:tcW w:w="0" w:type="auto"/>
            <w:tcBorders>
              <w:top w:val="single" w:sz="4" w:space="0" w:color="auto"/>
              <w:bottom w:val="nil"/>
            </w:tcBorders>
            <w:shd w:val="clear" w:color="auto" w:fill="auto"/>
          </w:tcPr>
          <w:p w:rsidR="003C3009" w:rsidRPr="00024336" w:rsidRDefault="003C3009" w:rsidP="006B121A">
            <w:pPr>
              <w:autoSpaceDE w:val="0"/>
              <w:autoSpaceDN w:val="0"/>
              <w:spacing w:line="240" w:lineRule="auto"/>
              <w:jc w:val="center"/>
              <w:rPr>
                <w:rFonts w:ascii="Palatino Linotype" w:eastAsia="SimSun" w:hAnsi="Palatino Linotype" w:cs="Arial"/>
                <w:color w:val="auto"/>
                <w:sz w:val="20"/>
                <w:szCs w:val="18"/>
                <w:lang w:val="en-GB" w:eastAsia="it-IT"/>
              </w:rPr>
            </w:pPr>
            <w:r w:rsidRPr="00024336">
              <w:rPr>
                <w:rFonts w:ascii="Palatino Linotype" w:eastAsia="SimSun" w:hAnsi="Palatino Linotype" w:cs="Arial"/>
                <w:color w:val="auto"/>
                <w:sz w:val="20"/>
                <w:szCs w:val="18"/>
                <w:lang w:val="en-GB" w:eastAsia="it-IT"/>
              </w:rPr>
              <w:t>Number of patients</w:t>
            </w:r>
          </w:p>
        </w:tc>
        <w:tc>
          <w:tcPr>
            <w:tcW w:w="0" w:type="auto"/>
            <w:tcBorders>
              <w:top w:val="single" w:sz="4" w:space="0" w:color="auto"/>
              <w:bottom w:val="nil"/>
            </w:tcBorders>
            <w:shd w:val="clear" w:color="auto" w:fill="auto"/>
          </w:tcPr>
          <w:p w:rsidR="003C3009" w:rsidRPr="00024336" w:rsidRDefault="003C3009" w:rsidP="006B121A">
            <w:pPr>
              <w:autoSpaceDE w:val="0"/>
              <w:autoSpaceDN w:val="0"/>
              <w:spacing w:line="240" w:lineRule="auto"/>
              <w:jc w:val="center"/>
              <w:rPr>
                <w:rFonts w:ascii="Palatino Linotype" w:eastAsia="SimSun" w:hAnsi="Palatino Linotype" w:cs="Arial"/>
                <w:color w:val="auto"/>
                <w:sz w:val="20"/>
                <w:szCs w:val="18"/>
                <w:lang w:val="en-GB" w:eastAsia="it-IT"/>
              </w:rPr>
            </w:pPr>
            <w:r w:rsidRPr="00024336">
              <w:rPr>
                <w:rFonts w:ascii="Palatino Linotype" w:eastAsia="SimSun" w:hAnsi="Palatino Linotype" w:cs="Arial"/>
                <w:color w:val="auto"/>
                <w:sz w:val="20"/>
                <w:szCs w:val="18"/>
                <w:lang w:val="en-GB" w:eastAsia="it-IT"/>
              </w:rPr>
              <w:t>9</w:t>
            </w:r>
          </w:p>
        </w:tc>
        <w:tc>
          <w:tcPr>
            <w:tcW w:w="0" w:type="auto"/>
            <w:tcBorders>
              <w:top w:val="single" w:sz="4" w:space="0" w:color="auto"/>
              <w:bottom w:val="nil"/>
            </w:tcBorders>
            <w:shd w:val="clear" w:color="auto" w:fill="auto"/>
          </w:tcPr>
          <w:p w:rsidR="003C3009" w:rsidRPr="00024336" w:rsidRDefault="003C3009" w:rsidP="006B121A">
            <w:pPr>
              <w:autoSpaceDE w:val="0"/>
              <w:autoSpaceDN w:val="0"/>
              <w:spacing w:line="240" w:lineRule="auto"/>
              <w:jc w:val="center"/>
              <w:rPr>
                <w:rFonts w:ascii="Palatino Linotype" w:eastAsia="SimSun" w:hAnsi="Palatino Linotype" w:cs="Arial"/>
                <w:color w:val="auto"/>
                <w:sz w:val="20"/>
                <w:szCs w:val="18"/>
                <w:lang w:val="en-GB" w:eastAsia="it-IT"/>
              </w:rPr>
            </w:pPr>
            <w:r w:rsidRPr="00024336">
              <w:rPr>
                <w:rFonts w:ascii="Palatino Linotype" w:eastAsia="SimSun" w:hAnsi="Palatino Linotype" w:cs="Arial"/>
                <w:color w:val="auto"/>
                <w:sz w:val="20"/>
                <w:szCs w:val="18"/>
                <w:lang w:val="en-GB" w:eastAsia="it-IT"/>
              </w:rPr>
              <w:t>11</w:t>
            </w:r>
          </w:p>
        </w:tc>
        <w:tc>
          <w:tcPr>
            <w:tcW w:w="0" w:type="auto"/>
            <w:tcBorders>
              <w:top w:val="single" w:sz="4" w:space="0" w:color="auto"/>
              <w:bottom w:val="nil"/>
            </w:tcBorders>
            <w:shd w:val="clear" w:color="auto" w:fill="auto"/>
          </w:tcPr>
          <w:p w:rsidR="003C3009" w:rsidRPr="00024336" w:rsidRDefault="003C3009" w:rsidP="006B121A">
            <w:pPr>
              <w:autoSpaceDE w:val="0"/>
              <w:autoSpaceDN w:val="0"/>
              <w:spacing w:line="240" w:lineRule="auto"/>
              <w:jc w:val="center"/>
              <w:rPr>
                <w:rFonts w:ascii="Palatino Linotype" w:eastAsia="SimSun" w:hAnsi="Palatino Linotype" w:cs="Arial"/>
                <w:color w:val="auto"/>
                <w:sz w:val="20"/>
                <w:szCs w:val="18"/>
                <w:lang w:val="en-GB" w:eastAsia="it-IT"/>
              </w:rPr>
            </w:pPr>
            <w:r w:rsidRPr="00024336">
              <w:rPr>
                <w:rFonts w:ascii="Palatino Linotype" w:eastAsia="SimSun" w:hAnsi="Palatino Linotype" w:cs="Arial"/>
                <w:color w:val="auto"/>
                <w:sz w:val="20"/>
                <w:szCs w:val="18"/>
                <w:lang w:val="en-GB" w:eastAsia="it-IT"/>
              </w:rPr>
              <w:t>22</w:t>
            </w:r>
          </w:p>
        </w:tc>
        <w:tc>
          <w:tcPr>
            <w:tcW w:w="0" w:type="auto"/>
            <w:tcBorders>
              <w:top w:val="single" w:sz="4" w:space="0" w:color="auto"/>
              <w:bottom w:val="nil"/>
            </w:tcBorders>
            <w:shd w:val="clear" w:color="auto" w:fill="auto"/>
          </w:tcPr>
          <w:p w:rsidR="003C3009" w:rsidRPr="00024336" w:rsidRDefault="003C3009" w:rsidP="006B121A">
            <w:pPr>
              <w:autoSpaceDE w:val="0"/>
              <w:autoSpaceDN w:val="0"/>
              <w:spacing w:line="240" w:lineRule="auto"/>
              <w:jc w:val="center"/>
              <w:rPr>
                <w:rFonts w:ascii="Palatino Linotype" w:eastAsia="SimSun" w:hAnsi="Palatino Linotype" w:cs="Arial"/>
                <w:color w:val="auto"/>
                <w:sz w:val="20"/>
                <w:szCs w:val="18"/>
                <w:lang w:val="en-GB" w:eastAsia="it-IT"/>
              </w:rPr>
            </w:pPr>
            <w:r w:rsidRPr="00024336">
              <w:rPr>
                <w:rFonts w:ascii="Palatino Linotype" w:eastAsia="SimSun" w:hAnsi="Palatino Linotype" w:cs="Arial"/>
                <w:color w:val="auto"/>
                <w:sz w:val="20"/>
                <w:szCs w:val="18"/>
                <w:lang w:val="en-GB" w:eastAsia="it-IT"/>
              </w:rPr>
              <w:t>42</w:t>
            </w:r>
          </w:p>
        </w:tc>
      </w:tr>
      <w:tr w:rsidR="00EC56C7" w:rsidRPr="00024336" w:rsidTr="006B121A">
        <w:tc>
          <w:tcPr>
            <w:tcW w:w="0" w:type="auto"/>
            <w:vMerge/>
            <w:shd w:val="clear" w:color="auto" w:fill="auto"/>
          </w:tcPr>
          <w:p w:rsidR="003C3009" w:rsidRPr="00024336" w:rsidRDefault="003C3009" w:rsidP="006B121A">
            <w:pPr>
              <w:autoSpaceDE w:val="0"/>
              <w:autoSpaceDN w:val="0"/>
              <w:spacing w:line="240" w:lineRule="auto"/>
              <w:jc w:val="center"/>
              <w:rPr>
                <w:rFonts w:ascii="Palatino Linotype" w:eastAsia="SimSun" w:hAnsi="Palatino Linotype" w:cs="Arial"/>
                <w:color w:val="auto"/>
                <w:sz w:val="20"/>
                <w:szCs w:val="18"/>
                <w:lang w:val="en-GB" w:eastAsia="it-IT"/>
              </w:rPr>
            </w:pPr>
          </w:p>
        </w:tc>
        <w:tc>
          <w:tcPr>
            <w:tcW w:w="0" w:type="auto"/>
            <w:vMerge/>
            <w:shd w:val="clear" w:color="auto" w:fill="auto"/>
          </w:tcPr>
          <w:p w:rsidR="003C3009" w:rsidRPr="00024336" w:rsidRDefault="003C3009" w:rsidP="006B121A">
            <w:pPr>
              <w:autoSpaceDE w:val="0"/>
              <w:autoSpaceDN w:val="0"/>
              <w:spacing w:line="240" w:lineRule="auto"/>
              <w:jc w:val="center"/>
              <w:rPr>
                <w:rFonts w:ascii="Palatino Linotype" w:eastAsia="SimSun" w:hAnsi="Palatino Linotype" w:cs="Arial"/>
                <w:color w:val="auto"/>
                <w:sz w:val="20"/>
                <w:szCs w:val="18"/>
                <w:lang w:val="en-GB" w:eastAsia="it-IT"/>
              </w:rPr>
            </w:pPr>
          </w:p>
        </w:tc>
        <w:tc>
          <w:tcPr>
            <w:tcW w:w="0" w:type="auto"/>
            <w:vMerge/>
            <w:tcBorders>
              <w:top w:val="nil"/>
              <w:bottom w:val="single" w:sz="4" w:space="0" w:color="auto"/>
            </w:tcBorders>
            <w:shd w:val="clear" w:color="auto" w:fill="auto"/>
          </w:tcPr>
          <w:p w:rsidR="003C3009" w:rsidRPr="00024336" w:rsidRDefault="003C3009" w:rsidP="006B121A">
            <w:pPr>
              <w:autoSpaceDE w:val="0"/>
              <w:autoSpaceDN w:val="0"/>
              <w:spacing w:line="240" w:lineRule="auto"/>
              <w:jc w:val="center"/>
              <w:rPr>
                <w:rFonts w:ascii="Palatino Linotype" w:eastAsia="SimSun" w:hAnsi="Palatino Linotype" w:cs="Arial"/>
                <w:color w:val="auto"/>
                <w:sz w:val="20"/>
                <w:szCs w:val="18"/>
                <w:lang w:val="en-GB" w:eastAsia="it-IT"/>
              </w:rPr>
            </w:pPr>
          </w:p>
        </w:tc>
        <w:tc>
          <w:tcPr>
            <w:tcW w:w="0" w:type="auto"/>
            <w:tcBorders>
              <w:top w:val="nil"/>
              <w:bottom w:val="single" w:sz="4" w:space="0" w:color="auto"/>
            </w:tcBorders>
            <w:shd w:val="clear" w:color="auto" w:fill="auto"/>
          </w:tcPr>
          <w:p w:rsidR="003C3009" w:rsidRPr="00024336" w:rsidRDefault="003C3009" w:rsidP="006B121A">
            <w:pPr>
              <w:autoSpaceDE w:val="0"/>
              <w:autoSpaceDN w:val="0"/>
              <w:spacing w:line="240" w:lineRule="auto"/>
              <w:jc w:val="center"/>
              <w:rPr>
                <w:rFonts w:ascii="Palatino Linotype" w:eastAsia="SimSun" w:hAnsi="Palatino Linotype" w:cs="Arial"/>
                <w:color w:val="auto"/>
                <w:sz w:val="20"/>
                <w:szCs w:val="18"/>
                <w:lang w:val="en-GB" w:eastAsia="it-IT"/>
              </w:rPr>
            </w:pPr>
            <w:r w:rsidRPr="00024336">
              <w:rPr>
                <w:rFonts w:ascii="Palatino Linotype" w:eastAsia="SimSun" w:hAnsi="Palatino Linotype" w:cs="Arial"/>
                <w:color w:val="auto"/>
                <w:sz w:val="20"/>
                <w:szCs w:val="18"/>
                <w:lang w:val="en-GB" w:eastAsia="it-IT"/>
              </w:rPr>
              <w:t>Percentage</w:t>
            </w:r>
          </w:p>
        </w:tc>
        <w:tc>
          <w:tcPr>
            <w:tcW w:w="0" w:type="auto"/>
            <w:tcBorders>
              <w:top w:val="nil"/>
              <w:bottom w:val="single" w:sz="4" w:space="0" w:color="auto"/>
            </w:tcBorders>
            <w:shd w:val="clear" w:color="auto" w:fill="auto"/>
          </w:tcPr>
          <w:p w:rsidR="003C3009" w:rsidRPr="00024336" w:rsidRDefault="003C3009" w:rsidP="006B121A">
            <w:pPr>
              <w:autoSpaceDE w:val="0"/>
              <w:autoSpaceDN w:val="0"/>
              <w:spacing w:line="240" w:lineRule="auto"/>
              <w:jc w:val="center"/>
              <w:rPr>
                <w:rFonts w:ascii="Palatino Linotype" w:eastAsia="SimSun" w:hAnsi="Palatino Linotype" w:cs="Arial"/>
                <w:color w:val="auto"/>
                <w:sz w:val="20"/>
                <w:szCs w:val="18"/>
                <w:lang w:val="en-GB" w:eastAsia="it-IT"/>
              </w:rPr>
            </w:pPr>
            <w:r w:rsidRPr="00024336">
              <w:rPr>
                <w:rFonts w:ascii="Palatino Linotype" w:eastAsia="SimSun" w:hAnsi="Palatino Linotype" w:cs="Arial"/>
                <w:color w:val="auto"/>
                <w:sz w:val="20"/>
                <w:szCs w:val="18"/>
                <w:lang w:val="en-GB" w:eastAsia="it-IT"/>
              </w:rPr>
              <w:t>25.0%</w:t>
            </w:r>
          </w:p>
        </w:tc>
        <w:tc>
          <w:tcPr>
            <w:tcW w:w="0" w:type="auto"/>
            <w:tcBorders>
              <w:top w:val="nil"/>
              <w:bottom w:val="single" w:sz="4" w:space="0" w:color="auto"/>
            </w:tcBorders>
            <w:shd w:val="clear" w:color="auto" w:fill="auto"/>
          </w:tcPr>
          <w:p w:rsidR="003C3009" w:rsidRPr="00024336" w:rsidRDefault="003C3009" w:rsidP="006B121A">
            <w:pPr>
              <w:autoSpaceDE w:val="0"/>
              <w:autoSpaceDN w:val="0"/>
              <w:spacing w:line="240" w:lineRule="auto"/>
              <w:jc w:val="center"/>
              <w:rPr>
                <w:rFonts w:ascii="Palatino Linotype" w:eastAsia="SimSun" w:hAnsi="Palatino Linotype" w:cs="Arial"/>
                <w:color w:val="auto"/>
                <w:sz w:val="20"/>
                <w:szCs w:val="18"/>
                <w:lang w:val="en-GB" w:eastAsia="it-IT"/>
              </w:rPr>
            </w:pPr>
            <w:r w:rsidRPr="00024336">
              <w:rPr>
                <w:rFonts w:ascii="Palatino Linotype" w:eastAsia="SimSun" w:hAnsi="Palatino Linotype" w:cs="Arial"/>
                <w:color w:val="auto"/>
                <w:sz w:val="20"/>
                <w:szCs w:val="18"/>
                <w:lang w:val="en-GB" w:eastAsia="it-IT"/>
              </w:rPr>
              <w:t>39.3%</w:t>
            </w:r>
          </w:p>
        </w:tc>
        <w:tc>
          <w:tcPr>
            <w:tcW w:w="0" w:type="auto"/>
            <w:tcBorders>
              <w:top w:val="nil"/>
              <w:bottom w:val="single" w:sz="4" w:space="0" w:color="auto"/>
            </w:tcBorders>
            <w:shd w:val="clear" w:color="auto" w:fill="auto"/>
          </w:tcPr>
          <w:p w:rsidR="003C3009" w:rsidRPr="00024336" w:rsidRDefault="003C3009" w:rsidP="006B121A">
            <w:pPr>
              <w:autoSpaceDE w:val="0"/>
              <w:autoSpaceDN w:val="0"/>
              <w:spacing w:line="240" w:lineRule="auto"/>
              <w:jc w:val="center"/>
              <w:rPr>
                <w:rFonts w:ascii="Palatino Linotype" w:eastAsia="SimSun" w:hAnsi="Palatino Linotype" w:cs="Arial"/>
                <w:color w:val="auto"/>
                <w:sz w:val="20"/>
                <w:szCs w:val="18"/>
                <w:lang w:val="en-GB" w:eastAsia="it-IT"/>
              </w:rPr>
            </w:pPr>
            <w:r w:rsidRPr="00024336">
              <w:rPr>
                <w:rFonts w:ascii="Palatino Linotype" w:eastAsia="SimSun" w:hAnsi="Palatino Linotype" w:cs="Arial"/>
                <w:color w:val="auto"/>
                <w:sz w:val="20"/>
                <w:szCs w:val="18"/>
                <w:lang w:val="en-GB" w:eastAsia="it-IT"/>
              </w:rPr>
              <w:t>59.5%</w:t>
            </w:r>
          </w:p>
        </w:tc>
        <w:tc>
          <w:tcPr>
            <w:tcW w:w="0" w:type="auto"/>
            <w:tcBorders>
              <w:top w:val="nil"/>
              <w:bottom w:val="single" w:sz="4" w:space="0" w:color="auto"/>
            </w:tcBorders>
            <w:shd w:val="clear" w:color="auto" w:fill="auto"/>
          </w:tcPr>
          <w:p w:rsidR="003C3009" w:rsidRPr="00024336" w:rsidRDefault="003C3009" w:rsidP="006B121A">
            <w:pPr>
              <w:autoSpaceDE w:val="0"/>
              <w:autoSpaceDN w:val="0"/>
              <w:spacing w:line="240" w:lineRule="auto"/>
              <w:jc w:val="center"/>
              <w:rPr>
                <w:rFonts w:ascii="Palatino Linotype" w:eastAsia="SimSun" w:hAnsi="Palatino Linotype" w:cs="Arial"/>
                <w:color w:val="auto"/>
                <w:sz w:val="20"/>
                <w:szCs w:val="18"/>
                <w:lang w:val="en-GB" w:eastAsia="it-IT"/>
              </w:rPr>
            </w:pPr>
            <w:r w:rsidRPr="00024336">
              <w:rPr>
                <w:rFonts w:ascii="Palatino Linotype" w:eastAsia="SimSun" w:hAnsi="Palatino Linotype" w:cs="Arial"/>
                <w:color w:val="auto"/>
                <w:sz w:val="20"/>
                <w:szCs w:val="18"/>
                <w:lang w:val="en-GB" w:eastAsia="it-IT"/>
              </w:rPr>
              <w:t>41.6%</w:t>
            </w:r>
          </w:p>
        </w:tc>
      </w:tr>
      <w:tr w:rsidR="00EC56C7" w:rsidRPr="00024336" w:rsidTr="006B121A">
        <w:tc>
          <w:tcPr>
            <w:tcW w:w="0" w:type="auto"/>
            <w:vMerge/>
            <w:shd w:val="clear" w:color="auto" w:fill="auto"/>
          </w:tcPr>
          <w:p w:rsidR="003C3009" w:rsidRPr="00024336" w:rsidRDefault="003C3009" w:rsidP="006B121A">
            <w:pPr>
              <w:autoSpaceDE w:val="0"/>
              <w:autoSpaceDN w:val="0"/>
              <w:spacing w:line="240" w:lineRule="auto"/>
              <w:jc w:val="center"/>
              <w:rPr>
                <w:rFonts w:ascii="Palatino Linotype" w:eastAsia="SimSun" w:hAnsi="Palatino Linotype" w:cs="Arial"/>
                <w:color w:val="auto"/>
                <w:sz w:val="20"/>
                <w:szCs w:val="18"/>
                <w:lang w:val="en-GB" w:eastAsia="it-IT"/>
              </w:rPr>
            </w:pPr>
          </w:p>
        </w:tc>
        <w:tc>
          <w:tcPr>
            <w:tcW w:w="0" w:type="auto"/>
            <w:vMerge/>
            <w:shd w:val="clear" w:color="auto" w:fill="auto"/>
          </w:tcPr>
          <w:p w:rsidR="003C3009" w:rsidRPr="00024336" w:rsidRDefault="003C3009" w:rsidP="006B121A">
            <w:pPr>
              <w:autoSpaceDE w:val="0"/>
              <w:autoSpaceDN w:val="0"/>
              <w:spacing w:line="240" w:lineRule="auto"/>
              <w:jc w:val="center"/>
              <w:rPr>
                <w:rFonts w:ascii="Palatino Linotype" w:eastAsia="SimSun" w:hAnsi="Palatino Linotype" w:cs="Arial"/>
                <w:color w:val="auto"/>
                <w:sz w:val="20"/>
                <w:szCs w:val="18"/>
                <w:lang w:val="en-GB" w:eastAsia="it-IT"/>
              </w:rPr>
            </w:pPr>
          </w:p>
        </w:tc>
        <w:tc>
          <w:tcPr>
            <w:tcW w:w="0" w:type="auto"/>
            <w:vMerge w:val="restart"/>
            <w:tcBorders>
              <w:top w:val="single" w:sz="4" w:space="0" w:color="auto"/>
            </w:tcBorders>
            <w:shd w:val="clear" w:color="auto" w:fill="auto"/>
          </w:tcPr>
          <w:p w:rsidR="003C3009" w:rsidRPr="00024336" w:rsidRDefault="003C3009" w:rsidP="006B121A">
            <w:pPr>
              <w:autoSpaceDE w:val="0"/>
              <w:autoSpaceDN w:val="0"/>
              <w:spacing w:line="240" w:lineRule="auto"/>
              <w:jc w:val="center"/>
              <w:rPr>
                <w:rFonts w:ascii="Palatino Linotype" w:eastAsia="SimSun" w:hAnsi="Palatino Linotype" w:cs="Arial"/>
                <w:color w:val="auto"/>
                <w:sz w:val="20"/>
                <w:szCs w:val="18"/>
                <w:lang w:val="en-GB" w:eastAsia="it-IT"/>
              </w:rPr>
            </w:pPr>
            <w:r w:rsidRPr="00024336">
              <w:rPr>
                <w:rFonts w:ascii="Palatino Linotype" w:eastAsia="SimSun" w:hAnsi="Palatino Linotype" w:cs="Arial"/>
                <w:color w:val="auto"/>
                <w:sz w:val="20"/>
                <w:szCs w:val="18"/>
                <w:lang w:val="en-GB" w:eastAsia="it-IT"/>
              </w:rPr>
              <w:t>Excellent</w:t>
            </w:r>
          </w:p>
        </w:tc>
        <w:tc>
          <w:tcPr>
            <w:tcW w:w="0" w:type="auto"/>
            <w:tcBorders>
              <w:top w:val="single" w:sz="4" w:space="0" w:color="auto"/>
            </w:tcBorders>
            <w:shd w:val="clear" w:color="auto" w:fill="auto"/>
          </w:tcPr>
          <w:p w:rsidR="003C3009" w:rsidRPr="00024336" w:rsidRDefault="003C3009" w:rsidP="006B121A">
            <w:pPr>
              <w:autoSpaceDE w:val="0"/>
              <w:autoSpaceDN w:val="0"/>
              <w:spacing w:line="240" w:lineRule="auto"/>
              <w:jc w:val="center"/>
              <w:rPr>
                <w:rFonts w:ascii="Palatino Linotype" w:eastAsia="SimSun" w:hAnsi="Palatino Linotype" w:cs="Arial"/>
                <w:color w:val="auto"/>
                <w:sz w:val="20"/>
                <w:szCs w:val="18"/>
                <w:lang w:val="en-GB" w:eastAsia="it-IT"/>
              </w:rPr>
            </w:pPr>
            <w:r w:rsidRPr="00024336">
              <w:rPr>
                <w:rFonts w:ascii="Palatino Linotype" w:eastAsia="SimSun" w:hAnsi="Palatino Linotype" w:cs="Arial"/>
                <w:color w:val="auto"/>
                <w:sz w:val="20"/>
                <w:szCs w:val="18"/>
                <w:lang w:val="en-GB" w:eastAsia="it-IT"/>
              </w:rPr>
              <w:t>Number of patients</w:t>
            </w:r>
          </w:p>
        </w:tc>
        <w:tc>
          <w:tcPr>
            <w:tcW w:w="0" w:type="auto"/>
            <w:tcBorders>
              <w:top w:val="single" w:sz="4" w:space="0" w:color="auto"/>
            </w:tcBorders>
            <w:shd w:val="clear" w:color="auto" w:fill="auto"/>
          </w:tcPr>
          <w:p w:rsidR="003C3009" w:rsidRPr="00024336" w:rsidRDefault="003C3009" w:rsidP="006B121A">
            <w:pPr>
              <w:autoSpaceDE w:val="0"/>
              <w:autoSpaceDN w:val="0"/>
              <w:spacing w:line="240" w:lineRule="auto"/>
              <w:jc w:val="center"/>
              <w:rPr>
                <w:rFonts w:ascii="Palatino Linotype" w:eastAsia="SimSun" w:hAnsi="Palatino Linotype" w:cs="Arial"/>
                <w:color w:val="auto"/>
                <w:sz w:val="20"/>
                <w:szCs w:val="18"/>
                <w:lang w:val="en-GB" w:eastAsia="it-IT"/>
              </w:rPr>
            </w:pPr>
            <w:r w:rsidRPr="00024336">
              <w:rPr>
                <w:rFonts w:ascii="Palatino Linotype" w:eastAsia="SimSun" w:hAnsi="Palatino Linotype" w:cs="Arial"/>
                <w:color w:val="auto"/>
                <w:sz w:val="20"/>
                <w:szCs w:val="18"/>
                <w:lang w:val="en-GB" w:eastAsia="it-IT"/>
              </w:rPr>
              <w:t>27</w:t>
            </w:r>
          </w:p>
        </w:tc>
        <w:tc>
          <w:tcPr>
            <w:tcW w:w="0" w:type="auto"/>
            <w:tcBorders>
              <w:top w:val="single" w:sz="4" w:space="0" w:color="auto"/>
            </w:tcBorders>
            <w:shd w:val="clear" w:color="auto" w:fill="auto"/>
          </w:tcPr>
          <w:p w:rsidR="003C3009" w:rsidRPr="00024336" w:rsidRDefault="003C3009" w:rsidP="006B121A">
            <w:pPr>
              <w:autoSpaceDE w:val="0"/>
              <w:autoSpaceDN w:val="0"/>
              <w:spacing w:line="240" w:lineRule="auto"/>
              <w:jc w:val="center"/>
              <w:rPr>
                <w:rFonts w:ascii="Palatino Linotype" w:eastAsia="SimSun" w:hAnsi="Palatino Linotype" w:cs="Arial"/>
                <w:color w:val="auto"/>
                <w:sz w:val="20"/>
                <w:szCs w:val="18"/>
                <w:lang w:val="en-GB" w:eastAsia="it-IT"/>
              </w:rPr>
            </w:pPr>
            <w:r w:rsidRPr="00024336">
              <w:rPr>
                <w:rFonts w:ascii="Palatino Linotype" w:eastAsia="SimSun" w:hAnsi="Palatino Linotype" w:cs="Arial"/>
                <w:color w:val="auto"/>
                <w:sz w:val="20"/>
                <w:szCs w:val="18"/>
                <w:lang w:val="en-GB" w:eastAsia="it-IT"/>
              </w:rPr>
              <w:t>17</w:t>
            </w:r>
          </w:p>
        </w:tc>
        <w:tc>
          <w:tcPr>
            <w:tcW w:w="0" w:type="auto"/>
            <w:tcBorders>
              <w:top w:val="single" w:sz="4" w:space="0" w:color="auto"/>
            </w:tcBorders>
            <w:shd w:val="clear" w:color="auto" w:fill="auto"/>
          </w:tcPr>
          <w:p w:rsidR="003C3009" w:rsidRPr="00024336" w:rsidRDefault="003C3009" w:rsidP="006B121A">
            <w:pPr>
              <w:autoSpaceDE w:val="0"/>
              <w:autoSpaceDN w:val="0"/>
              <w:spacing w:line="240" w:lineRule="auto"/>
              <w:jc w:val="center"/>
              <w:rPr>
                <w:rFonts w:ascii="Palatino Linotype" w:eastAsia="SimSun" w:hAnsi="Palatino Linotype" w:cs="Arial"/>
                <w:color w:val="auto"/>
                <w:sz w:val="20"/>
                <w:szCs w:val="18"/>
                <w:lang w:val="en-GB" w:eastAsia="it-IT"/>
              </w:rPr>
            </w:pPr>
            <w:r w:rsidRPr="00024336">
              <w:rPr>
                <w:rFonts w:ascii="Palatino Linotype" w:eastAsia="SimSun" w:hAnsi="Palatino Linotype" w:cs="Arial"/>
                <w:color w:val="auto"/>
                <w:sz w:val="20"/>
                <w:szCs w:val="18"/>
                <w:lang w:val="en-GB" w:eastAsia="it-IT"/>
              </w:rPr>
              <w:t>15</w:t>
            </w:r>
          </w:p>
        </w:tc>
        <w:tc>
          <w:tcPr>
            <w:tcW w:w="0" w:type="auto"/>
            <w:tcBorders>
              <w:top w:val="single" w:sz="4" w:space="0" w:color="auto"/>
            </w:tcBorders>
            <w:shd w:val="clear" w:color="auto" w:fill="auto"/>
          </w:tcPr>
          <w:p w:rsidR="003C3009" w:rsidRPr="00024336" w:rsidRDefault="003C3009" w:rsidP="006B121A">
            <w:pPr>
              <w:autoSpaceDE w:val="0"/>
              <w:autoSpaceDN w:val="0"/>
              <w:spacing w:line="240" w:lineRule="auto"/>
              <w:jc w:val="center"/>
              <w:rPr>
                <w:rFonts w:ascii="Palatino Linotype" w:eastAsia="SimSun" w:hAnsi="Palatino Linotype" w:cs="Arial"/>
                <w:color w:val="auto"/>
                <w:sz w:val="20"/>
                <w:szCs w:val="18"/>
                <w:lang w:val="en-GB" w:eastAsia="it-IT"/>
              </w:rPr>
            </w:pPr>
            <w:r w:rsidRPr="00024336">
              <w:rPr>
                <w:rFonts w:ascii="Palatino Linotype" w:eastAsia="SimSun" w:hAnsi="Palatino Linotype" w:cs="Arial"/>
                <w:color w:val="auto"/>
                <w:sz w:val="20"/>
                <w:szCs w:val="18"/>
                <w:lang w:val="en-GB" w:eastAsia="it-IT"/>
              </w:rPr>
              <w:t>59</w:t>
            </w:r>
          </w:p>
        </w:tc>
      </w:tr>
      <w:tr w:rsidR="00EC56C7" w:rsidRPr="00024336" w:rsidTr="006B121A">
        <w:tc>
          <w:tcPr>
            <w:tcW w:w="0" w:type="auto"/>
            <w:vMerge/>
            <w:tcBorders>
              <w:bottom w:val="single" w:sz="4" w:space="0" w:color="auto"/>
            </w:tcBorders>
            <w:shd w:val="clear" w:color="auto" w:fill="auto"/>
          </w:tcPr>
          <w:p w:rsidR="003C3009" w:rsidRPr="00024336" w:rsidRDefault="003C3009" w:rsidP="006B121A">
            <w:pPr>
              <w:autoSpaceDE w:val="0"/>
              <w:autoSpaceDN w:val="0"/>
              <w:spacing w:line="240" w:lineRule="auto"/>
              <w:jc w:val="center"/>
              <w:rPr>
                <w:rFonts w:ascii="Palatino Linotype" w:eastAsia="SimSun" w:hAnsi="Palatino Linotype" w:cs="Arial"/>
                <w:color w:val="auto"/>
                <w:sz w:val="20"/>
                <w:szCs w:val="18"/>
                <w:lang w:val="en-GB" w:eastAsia="it-IT"/>
              </w:rPr>
            </w:pPr>
          </w:p>
        </w:tc>
        <w:tc>
          <w:tcPr>
            <w:tcW w:w="0" w:type="auto"/>
            <w:vMerge/>
            <w:tcBorders>
              <w:bottom w:val="single" w:sz="4" w:space="0" w:color="auto"/>
            </w:tcBorders>
            <w:shd w:val="clear" w:color="auto" w:fill="auto"/>
          </w:tcPr>
          <w:p w:rsidR="003C3009" w:rsidRPr="00024336" w:rsidRDefault="003C3009" w:rsidP="006B121A">
            <w:pPr>
              <w:autoSpaceDE w:val="0"/>
              <w:autoSpaceDN w:val="0"/>
              <w:spacing w:line="240" w:lineRule="auto"/>
              <w:jc w:val="center"/>
              <w:rPr>
                <w:rFonts w:ascii="Palatino Linotype" w:eastAsia="SimSun" w:hAnsi="Palatino Linotype" w:cs="Arial"/>
                <w:color w:val="auto"/>
                <w:sz w:val="20"/>
                <w:szCs w:val="18"/>
                <w:lang w:val="en-GB" w:eastAsia="it-IT"/>
              </w:rPr>
            </w:pPr>
          </w:p>
        </w:tc>
        <w:tc>
          <w:tcPr>
            <w:tcW w:w="0" w:type="auto"/>
            <w:vMerge/>
            <w:tcBorders>
              <w:bottom w:val="single" w:sz="4" w:space="0" w:color="auto"/>
            </w:tcBorders>
            <w:shd w:val="clear" w:color="auto" w:fill="auto"/>
          </w:tcPr>
          <w:p w:rsidR="003C3009" w:rsidRPr="00024336" w:rsidRDefault="003C3009" w:rsidP="006B121A">
            <w:pPr>
              <w:autoSpaceDE w:val="0"/>
              <w:autoSpaceDN w:val="0"/>
              <w:spacing w:line="240" w:lineRule="auto"/>
              <w:jc w:val="center"/>
              <w:rPr>
                <w:rFonts w:ascii="Palatino Linotype" w:eastAsia="SimSun" w:hAnsi="Palatino Linotype" w:cs="Arial"/>
                <w:color w:val="auto"/>
                <w:sz w:val="20"/>
                <w:szCs w:val="18"/>
                <w:lang w:val="en-GB" w:eastAsia="it-IT"/>
              </w:rPr>
            </w:pPr>
          </w:p>
        </w:tc>
        <w:tc>
          <w:tcPr>
            <w:tcW w:w="0" w:type="auto"/>
            <w:tcBorders>
              <w:bottom w:val="single" w:sz="4" w:space="0" w:color="auto"/>
            </w:tcBorders>
            <w:shd w:val="clear" w:color="auto" w:fill="auto"/>
          </w:tcPr>
          <w:p w:rsidR="003C3009" w:rsidRPr="00024336" w:rsidRDefault="003C3009" w:rsidP="006B121A">
            <w:pPr>
              <w:autoSpaceDE w:val="0"/>
              <w:autoSpaceDN w:val="0"/>
              <w:spacing w:line="240" w:lineRule="auto"/>
              <w:jc w:val="center"/>
              <w:rPr>
                <w:rFonts w:ascii="Palatino Linotype" w:eastAsia="SimSun" w:hAnsi="Palatino Linotype" w:cs="Arial"/>
                <w:color w:val="auto"/>
                <w:sz w:val="20"/>
                <w:szCs w:val="18"/>
                <w:lang w:val="en-GB" w:eastAsia="it-IT"/>
              </w:rPr>
            </w:pPr>
            <w:r w:rsidRPr="00024336">
              <w:rPr>
                <w:rFonts w:ascii="Palatino Linotype" w:eastAsia="SimSun" w:hAnsi="Palatino Linotype" w:cs="Arial"/>
                <w:color w:val="auto"/>
                <w:sz w:val="20"/>
                <w:szCs w:val="18"/>
                <w:lang w:val="en-GB" w:eastAsia="it-IT"/>
              </w:rPr>
              <w:t>Percentage</w:t>
            </w:r>
          </w:p>
        </w:tc>
        <w:tc>
          <w:tcPr>
            <w:tcW w:w="0" w:type="auto"/>
            <w:tcBorders>
              <w:bottom w:val="single" w:sz="4" w:space="0" w:color="auto"/>
            </w:tcBorders>
            <w:shd w:val="clear" w:color="auto" w:fill="auto"/>
          </w:tcPr>
          <w:p w:rsidR="003C3009" w:rsidRPr="00024336" w:rsidRDefault="003C3009" w:rsidP="006B121A">
            <w:pPr>
              <w:autoSpaceDE w:val="0"/>
              <w:autoSpaceDN w:val="0"/>
              <w:spacing w:line="240" w:lineRule="auto"/>
              <w:jc w:val="center"/>
              <w:rPr>
                <w:rFonts w:ascii="Palatino Linotype" w:eastAsia="SimSun" w:hAnsi="Palatino Linotype" w:cs="Arial"/>
                <w:color w:val="auto"/>
                <w:sz w:val="20"/>
                <w:szCs w:val="18"/>
                <w:lang w:val="en-GB" w:eastAsia="it-IT"/>
              </w:rPr>
            </w:pPr>
            <w:r w:rsidRPr="00024336">
              <w:rPr>
                <w:rFonts w:ascii="Palatino Linotype" w:eastAsia="SimSun" w:hAnsi="Palatino Linotype" w:cs="Arial"/>
                <w:color w:val="auto"/>
                <w:sz w:val="20"/>
                <w:szCs w:val="18"/>
                <w:lang w:val="en-GB" w:eastAsia="it-IT"/>
              </w:rPr>
              <w:t>75.0%</w:t>
            </w:r>
          </w:p>
        </w:tc>
        <w:tc>
          <w:tcPr>
            <w:tcW w:w="0" w:type="auto"/>
            <w:tcBorders>
              <w:bottom w:val="single" w:sz="4" w:space="0" w:color="auto"/>
            </w:tcBorders>
            <w:shd w:val="clear" w:color="auto" w:fill="auto"/>
          </w:tcPr>
          <w:p w:rsidR="003C3009" w:rsidRPr="00024336" w:rsidRDefault="003C3009" w:rsidP="006B121A">
            <w:pPr>
              <w:autoSpaceDE w:val="0"/>
              <w:autoSpaceDN w:val="0"/>
              <w:spacing w:line="240" w:lineRule="auto"/>
              <w:jc w:val="center"/>
              <w:rPr>
                <w:rFonts w:ascii="Palatino Linotype" w:eastAsia="SimSun" w:hAnsi="Palatino Linotype" w:cs="Arial"/>
                <w:color w:val="auto"/>
                <w:sz w:val="20"/>
                <w:szCs w:val="18"/>
                <w:lang w:val="en-GB" w:eastAsia="it-IT"/>
              </w:rPr>
            </w:pPr>
            <w:r w:rsidRPr="00024336">
              <w:rPr>
                <w:rFonts w:ascii="Palatino Linotype" w:eastAsia="SimSun" w:hAnsi="Palatino Linotype" w:cs="Arial"/>
                <w:color w:val="auto"/>
                <w:sz w:val="20"/>
                <w:szCs w:val="18"/>
                <w:lang w:val="en-GB" w:eastAsia="it-IT"/>
              </w:rPr>
              <w:t>60.7%</w:t>
            </w:r>
          </w:p>
        </w:tc>
        <w:tc>
          <w:tcPr>
            <w:tcW w:w="0" w:type="auto"/>
            <w:tcBorders>
              <w:bottom w:val="single" w:sz="4" w:space="0" w:color="auto"/>
            </w:tcBorders>
            <w:shd w:val="clear" w:color="auto" w:fill="auto"/>
          </w:tcPr>
          <w:p w:rsidR="003C3009" w:rsidRPr="00024336" w:rsidRDefault="003C3009" w:rsidP="006B121A">
            <w:pPr>
              <w:autoSpaceDE w:val="0"/>
              <w:autoSpaceDN w:val="0"/>
              <w:spacing w:line="240" w:lineRule="auto"/>
              <w:jc w:val="center"/>
              <w:rPr>
                <w:rFonts w:ascii="Palatino Linotype" w:eastAsia="SimSun" w:hAnsi="Palatino Linotype" w:cs="Arial"/>
                <w:color w:val="auto"/>
                <w:sz w:val="20"/>
                <w:szCs w:val="18"/>
                <w:lang w:val="en-GB" w:eastAsia="it-IT"/>
              </w:rPr>
            </w:pPr>
            <w:r w:rsidRPr="00024336">
              <w:rPr>
                <w:rFonts w:ascii="Palatino Linotype" w:eastAsia="SimSun" w:hAnsi="Palatino Linotype" w:cs="Arial"/>
                <w:color w:val="auto"/>
                <w:sz w:val="20"/>
                <w:szCs w:val="18"/>
                <w:lang w:val="en-GB" w:eastAsia="it-IT"/>
              </w:rPr>
              <w:t>40.5%</w:t>
            </w:r>
          </w:p>
        </w:tc>
        <w:tc>
          <w:tcPr>
            <w:tcW w:w="0" w:type="auto"/>
            <w:tcBorders>
              <w:bottom w:val="single" w:sz="4" w:space="0" w:color="auto"/>
            </w:tcBorders>
            <w:shd w:val="clear" w:color="auto" w:fill="auto"/>
          </w:tcPr>
          <w:p w:rsidR="003C3009" w:rsidRPr="00024336" w:rsidRDefault="003C3009" w:rsidP="006B121A">
            <w:pPr>
              <w:autoSpaceDE w:val="0"/>
              <w:autoSpaceDN w:val="0"/>
              <w:spacing w:line="240" w:lineRule="auto"/>
              <w:jc w:val="center"/>
              <w:rPr>
                <w:rFonts w:ascii="Palatino Linotype" w:eastAsia="SimSun" w:hAnsi="Palatino Linotype" w:cs="Arial"/>
                <w:color w:val="auto"/>
                <w:sz w:val="20"/>
                <w:szCs w:val="18"/>
                <w:lang w:val="en-GB" w:eastAsia="it-IT"/>
              </w:rPr>
            </w:pPr>
            <w:r w:rsidRPr="00024336">
              <w:rPr>
                <w:rFonts w:ascii="Palatino Linotype" w:eastAsia="SimSun" w:hAnsi="Palatino Linotype" w:cs="Arial"/>
                <w:color w:val="auto"/>
                <w:sz w:val="20"/>
                <w:szCs w:val="18"/>
                <w:lang w:val="en-GB" w:eastAsia="it-IT"/>
              </w:rPr>
              <w:t>58.4%</w:t>
            </w:r>
          </w:p>
        </w:tc>
      </w:tr>
      <w:tr w:rsidR="00EC56C7" w:rsidRPr="00024336" w:rsidTr="006B121A">
        <w:tc>
          <w:tcPr>
            <w:tcW w:w="0" w:type="auto"/>
            <w:vMerge w:val="restart"/>
            <w:tcBorders>
              <w:top w:val="single" w:sz="4" w:space="0" w:color="auto"/>
            </w:tcBorders>
            <w:shd w:val="clear" w:color="auto" w:fill="auto"/>
          </w:tcPr>
          <w:p w:rsidR="003C3009" w:rsidRPr="00024336" w:rsidRDefault="003C3009" w:rsidP="006B121A">
            <w:pPr>
              <w:autoSpaceDE w:val="0"/>
              <w:autoSpaceDN w:val="0"/>
              <w:spacing w:line="240" w:lineRule="auto"/>
              <w:jc w:val="center"/>
              <w:rPr>
                <w:rFonts w:ascii="Palatino Linotype" w:eastAsia="SimSun" w:hAnsi="Palatino Linotype" w:cs="Arial"/>
                <w:color w:val="auto"/>
                <w:sz w:val="20"/>
                <w:szCs w:val="18"/>
                <w:lang w:val="en-GB" w:eastAsia="it-IT"/>
              </w:rPr>
            </w:pPr>
            <w:r w:rsidRPr="00024336">
              <w:rPr>
                <w:rFonts w:ascii="Palatino Linotype" w:eastAsia="SimSun" w:hAnsi="Palatino Linotype" w:cs="Arial"/>
                <w:color w:val="auto"/>
                <w:sz w:val="20"/>
                <w:szCs w:val="18"/>
                <w:lang w:val="en-GB" w:eastAsia="it-IT"/>
              </w:rPr>
              <w:t>Boys</w:t>
            </w:r>
          </w:p>
        </w:tc>
        <w:tc>
          <w:tcPr>
            <w:tcW w:w="0" w:type="auto"/>
            <w:vMerge w:val="restart"/>
            <w:tcBorders>
              <w:top w:val="single" w:sz="4" w:space="0" w:color="auto"/>
            </w:tcBorders>
            <w:shd w:val="clear" w:color="auto" w:fill="auto"/>
          </w:tcPr>
          <w:p w:rsidR="003C3009" w:rsidRPr="00024336" w:rsidRDefault="003C3009" w:rsidP="006B121A">
            <w:pPr>
              <w:autoSpaceDE w:val="0"/>
              <w:autoSpaceDN w:val="0"/>
              <w:spacing w:line="240" w:lineRule="auto"/>
              <w:jc w:val="center"/>
              <w:rPr>
                <w:rFonts w:ascii="Palatino Linotype" w:eastAsia="SimSun" w:hAnsi="Palatino Linotype" w:cs="Arial"/>
                <w:color w:val="auto"/>
                <w:sz w:val="20"/>
                <w:szCs w:val="18"/>
                <w:lang w:val="en-GB" w:eastAsia="it-IT"/>
              </w:rPr>
            </w:pPr>
            <w:r w:rsidRPr="00024336">
              <w:rPr>
                <w:rFonts w:ascii="Palatino Linotype" w:eastAsia="SimSun" w:hAnsi="Palatino Linotype" w:cs="Arial"/>
                <w:color w:val="auto"/>
                <w:sz w:val="20"/>
                <w:szCs w:val="18"/>
                <w:lang w:val="en-GB" w:eastAsia="it-IT"/>
              </w:rPr>
              <w:t>Adherence</w:t>
            </w:r>
          </w:p>
        </w:tc>
        <w:tc>
          <w:tcPr>
            <w:tcW w:w="0" w:type="auto"/>
            <w:vMerge w:val="restart"/>
            <w:tcBorders>
              <w:top w:val="single" w:sz="4" w:space="0" w:color="auto"/>
              <w:bottom w:val="nil"/>
            </w:tcBorders>
            <w:shd w:val="clear" w:color="auto" w:fill="auto"/>
          </w:tcPr>
          <w:p w:rsidR="003C3009" w:rsidRPr="00024336" w:rsidRDefault="003C3009" w:rsidP="006B121A">
            <w:pPr>
              <w:autoSpaceDE w:val="0"/>
              <w:autoSpaceDN w:val="0"/>
              <w:spacing w:line="240" w:lineRule="auto"/>
              <w:jc w:val="center"/>
              <w:rPr>
                <w:rFonts w:ascii="Palatino Linotype" w:eastAsia="SimSun" w:hAnsi="Palatino Linotype" w:cs="Arial"/>
                <w:color w:val="auto"/>
                <w:sz w:val="20"/>
                <w:szCs w:val="18"/>
                <w:lang w:val="en-GB" w:eastAsia="it-IT"/>
              </w:rPr>
            </w:pPr>
            <w:r w:rsidRPr="00024336">
              <w:rPr>
                <w:rFonts w:ascii="Palatino Linotype" w:eastAsia="SimSun" w:hAnsi="Palatino Linotype" w:cs="Arial"/>
                <w:color w:val="auto"/>
                <w:sz w:val="20"/>
                <w:szCs w:val="18"/>
                <w:lang w:val="en-GB" w:eastAsia="it-IT"/>
              </w:rPr>
              <w:t>Fair/Low</w:t>
            </w:r>
          </w:p>
        </w:tc>
        <w:tc>
          <w:tcPr>
            <w:tcW w:w="0" w:type="auto"/>
            <w:tcBorders>
              <w:top w:val="single" w:sz="4" w:space="0" w:color="auto"/>
              <w:bottom w:val="nil"/>
            </w:tcBorders>
            <w:shd w:val="clear" w:color="auto" w:fill="auto"/>
          </w:tcPr>
          <w:p w:rsidR="003C3009" w:rsidRPr="00024336" w:rsidRDefault="003C3009" w:rsidP="006B121A">
            <w:pPr>
              <w:autoSpaceDE w:val="0"/>
              <w:autoSpaceDN w:val="0"/>
              <w:spacing w:line="240" w:lineRule="auto"/>
              <w:jc w:val="center"/>
              <w:rPr>
                <w:rFonts w:ascii="Palatino Linotype" w:eastAsia="SimSun" w:hAnsi="Palatino Linotype" w:cs="Arial"/>
                <w:color w:val="auto"/>
                <w:sz w:val="20"/>
                <w:szCs w:val="18"/>
                <w:lang w:val="en-GB" w:eastAsia="it-IT"/>
              </w:rPr>
            </w:pPr>
            <w:r w:rsidRPr="00024336">
              <w:rPr>
                <w:rFonts w:ascii="Palatino Linotype" w:eastAsia="SimSun" w:hAnsi="Palatino Linotype" w:cs="Arial"/>
                <w:color w:val="auto"/>
                <w:sz w:val="20"/>
                <w:szCs w:val="18"/>
                <w:lang w:val="en-GB" w:eastAsia="it-IT"/>
              </w:rPr>
              <w:t>Number of patients</w:t>
            </w:r>
          </w:p>
        </w:tc>
        <w:tc>
          <w:tcPr>
            <w:tcW w:w="0" w:type="auto"/>
            <w:tcBorders>
              <w:top w:val="single" w:sz="4" w:space="0" w:color="auto"/>
              <w:bottom w:val="nil"/>
            </w:tcBorders>
            <w:shd w:val="clear" w:color="auto" w:fill="auto"/>
          </w:tcPr>
          <w:p w:rsidR="003C3009" w:rsidRPr="00024336" w:rsidRDefault="003C3009" w:rsidP="006B121A">
            <w:pPr>
              <w:autoSpaceDE w:val="0"/>
              <w:autoSpaceDN w:val="0"/>
              <w:spacing w:line="240" w:lineRule="auto"/>
              <w:jc w:val="center"/>
              <w:rPr>
                <w:rFonts w:ascii="Palatino Linotype" w:eastAsia="SimSun" w:hAnsi="Palatino Linotype" w:cs="Arial"/>
                <w:color w:val="auto"/>
                <w:sz w:val="20"/>
                <w:szCs w:val="18"/>
                <w:lang w:val="en-GB" w:eastAsia="it-IT"/>
              </w:rPr>
            </w:pPr>
            <w:r w:rsidRPr="00024336">
              <w:rPr>
                <w:rFonts w:ascii="Palatino Linotype" w:eastAsia="SimSun" w:hAnsi="Palatino Linotype" w:cs="Arial"/>
                <w:color w:val="auto"/>
                <w:sz w:val="20"/>
                <w:szCs w:val="18"/>
                <w:lang w:val="en-GB" w:eastAsia="it-IT"/>
              </w:rPr>
              <w:t>8</w:t>
            </w:r>
          </w:p>
        </w:tc>
        <w:tc>
          <w:tcPr>
            <w:tcW w:w="0" w:type="auto"/>
            <w:tcBorders>
              <w:top w:val="single" w:sz="4" w:space="0" w:color="auto"/>
              <w:bottom w:val="nil"/>
            </w:tcBorders>
            <w:shd w:val="clear" w:color="auto" w:fill="auto"/>
          </w:tcPr>
          <w:p w:rsidR="003C3009" w:rsidRPr="00024336" w:rsidRDefault="003C3009" w:rsidP="006B121A">
            <w:pPr>
              <w:autoSpaceDE w:val="0"/>
              <w:autoSpaceDN w:val="0"/>
              <w:spacing w:line="240" w:lineRule="auto"/>
              <w:jc w:val="center"/>
              <w:rPr>
                <w:rFonts w:ascii="Palatino Linotype" w:eastAsia="SimSun" w:hAnsi="Palatino Linotype" w:cs="Arial"/>
                <w:color w:val="auto"/>
                <w:sz w:val="20"/>
                <w:szCs w:val="18"/>
                <w:lang w:val="en-GB" w:eastAsia="it-IT"/>
              </w:rPr>
            </w:pPr>
            <w:r w:rsidRPr="00024336">
              <w:rPr>
                <w:rFonts w:ascii="Palatino Linotype" w:eastAsia="SimSun" w:hAnsi="Palatino Linotype" w:cs="Arial"/>
                <w:color w:val="auto"/>
                <w:sz w:val="20"/>
                <w:szCs w:val="18"/>
                <w:lang w:val="en-GB" w:eastAsia="it-IT"/>
              </w:rPr>
              <w:t>6</w:t>
            </w:r>
          </w:p>
        </w:tc>
        <w:tc>
          <w:tcPr>
            <w:tcW w:w="0" w:type="auto"/>
            <w:tcBorders>
              <w:top w:val="single" w:sz="4" w:space="0" w:color="auto"/>
              <w:bottom w:val="nil"/>
            </w:tcBorders>
            <w:shd w:val="clear" w:color="auto" w:fill="auto"/>
          </w:tcPr>
          <w:p w:rsidR="003C3009" w:rsidRPr="00024336" w:rsidRDefault="003C3009" w:rsidP="006B121A">
            <w:pPr>
              <w:autoSpaceDE w:val="0"/>
              <w:autoSpaceDN w:val="0"/>
              <w:spacing w:line="240" w:lineRule="auto"/>
              <w:jc w:val="center"/>
              <w:rPr>
                <w:rFonts w:ascii="Palatino Linotype" w:eastAsia="SimSun" w:hAnsi="Palatino Linotype" w:cs="Arial"/>
                <w:color w:val="auto"/>
                <w:sz w:val="20"/>
                <w:szCs w:val="18"/>
                <w:lang w:val="en-GB" w:eastAsia="it-IT"/>
              </w:rPr>
            </w:pPr>
            <w:r w:rsidRPr="00024336">
              <w:rPr>
                <w:rFonts w:ascii="Palatino Linotype" w:eastAsia="SimSun" w:hAnsi="Palatino Linotype" w:cs="Arial"/>
                <w:color w:val="auto"/>
                <w:sz w:val="20"/>
                <w:szCs w:val="18"/>
                <w:lang w:val="en-GB" w:eastAsia="it-IT"/>
              </w:rPr>
              <w:t>9</w:t>
            </w:r>
          </w:p>
        </w:tc>
        <w:tc>
          <w:tcPr>
            <w:tcW w:w="0" w:type="auto"/>
            <w:tcBorders>
              <w:top w:val="single" w:sz="4" w:space="0" w:color="auto"/>
              <w:bottom w:val="nil"/>
            </w:tcBorders>
            <w:shd w:val="clear" w:color="auto" w:fill="auto"/>
          </w:tcPr>
          <w:p w:rsidR="003C3009" w:rsidRPr="00024336" w:rsidRDefault="003C3009" w:rsidP="006B121A">
            <w:pPr>
              <w:autoSpaceDE w:val="0"/>
              <w:autoSpaceDN w:val="0"/>
              <w:spacing w:line="240" w:lineRule="auto"/>
              <w:jc w:val="center"/>
              <w:rPr>
                <w:rFonts w:ascii="Palatino Linotype" w:eastAsia="SimSun" w:hAnsi="Palatino Linotype" w:cs="Arial"/>
                <w:color w:val="auto"/>
                <w:sz w:val="20"/>
                <w:szCs w:val="18"/>
                <w:lang w:val="en-GB" w:eastAsia="it-IT"/>
              </w:rPr>
            </w:pPr>
            <w:r w:rsidRPr="00024336">
              <w:rPr>
                <w:rFonts w:ascii="Palatino Linotype" w:eastAsia="SimSun" w:hAnsi="Palatino Linotype" w:cs="Arial"/>
                <w:color w:val="auto"/>
                <w:sz w:val="20"/>
                <w:szCs w:val="18"/>
                <w:lang w:val="en-GB" w:eastAsia="it-IT"/>
              </w:rPr>
              <w:t>23</w:t>
            </w:r>
          </w:p>
        </w:tc>
      </w:tr>
      <w:tr w:rsidR="00EC56C7" w:rsidRPr="00024336" w:rsidTr="006B121A">
        <w:tc>
          <w:tcPr>
            <w:tcW w:w="0" w:type="auto"/>
            <w:vMerge/>
            <w:shd w:val="clear" w:color="auto" w:fill="auto"/>
          </w:tcPr>
          <w:p w:rsidR="003C3009" w:rsidRPr="00024336" w:rsidRDefault="003C3009" w:rsidP="006B121A">
            <w:pPr>
              <w:autoSpaceDE w:val="0"/>
              <w:autoSpaceDN w:val="0"/>
              <w:spacing w:line="240" w:lineRule="auto"/>
              <w:jc w:val="center"/>
              <w:rPr>
                <w:rFonts w:ascii="Palatino Linotype" w:eastAsia="SimSun" w:hAnsi="Palatino Linotype" w:cs="Arial"/>
                <w:color w:val="auto"/>
                <w:sz w:val="20"/>
                <w:szCs w:val="18"/>
                <w:lang w:val="en-GB" w:eastAsia="it-IT"/>
              </w:rPr>
            </w:pPr>
          </w:p>
        </w:tc>
        <w:tc>
          <w:tcPr>
            <w:tcW w:w="0" w:type="auto"/>
            <w:vMerge/>
            <w:shd w:val="clear" w:color="auto" w:fill="auto"/>
          </w:tcPr>
          <w:p w:rsidR="003C3009" w:rsidRPr="00024336" w:rsidRDefault="003C3009" w:rsidP="006B121A">
            <w:pPr>
              <w:autoSpaceDE w:val="0"/>
              <w:autoSpaceDN w:val="0"/>
              <w:spacing w:line="240" w:lineRule="auto"/>
              <w:jc w:val="center"/>
              <w:rPr>
                <w:rFonts w:ascii="Palatino Linotype" w:eastAsia="SimSun" w:hAnsi="Palatino Linotype" w:cs="Arial"/>
                <w:color w:val="auto"/>
                <w:sz w:val="20"/>
                <w:szCs w:val="18"/>
                <w:lang w:val="en-GB" w:eastAsia="it-IT"/>
              </w:rPr>
            </w:pPr>
          </w:p>
        </w:tc>
        <w:tc>
          <w:tcPr>
            <w:tcW w:w="0" w:type="auto"/>
            <w:vMerge/>
            <w:tcBorders>
              <w:top w:val="nil"/>
              <w:bottom w:val="single" w:sz="4" w:space="0" w:color="auto"/>
            </w:tcBorders>
            <w:shd w:val="clear" w:color="auto" w:fill="auto"/>
          </w:tcPr>
          <w:p w:rsidR="003C3009" w:rsidRPr="00024336" w:rsidRDefault="003C3009" w:rsidP="006B121A">
            <w:pPr>
              <w:autoSpaceDE w:val="0"/>
              <w:autoSpaceDN w:val="0"/>
              <w:spacing w:line="240" w:lineRule="auto"/>
              <w:jc w:val="center"/>
              <w:rPr>
                <w:rFonts w:ascii="Palatino Linotype" w:eastAsia="SimSun" w:hAnsi="Palatino Linotype" w:cs="Arial"/>
                <w:color w:val="auto"/>
                <w:sz w:val="20"/>
                <w:szCs w:val="18"/>
                <w:lang w:val="en-GB" w:eastAsia="it-IT"/>
              </w:rPr>
            </w:pPr>
          </w:p>
        </w:tc>
        <w:tc>
          <w:tcPr>
            <w:tcW w:w="0" w:type="auto"/>
            <w:tcBorders>
              <w:top w:val="nil"/>
              <w:bottom w:val="single" w:sz="4" w:space="0" w:color="auto"/>
            </w:tcBorders>
            <w:shd w:val="clear" w:color="auto" w:fill="auto"/>
          </w:tcPr>
          <w:p w:rsidR="003C3009" w:rsidRPr="00024336" w:rsidRDefault="003C3009" w:rsidP="006B121A">
            <w:pPr>
              <w:autoSpaceDE w:val="0"/>
              <w:autoSpaceDN w:val="0"/>
              <w:spacing w:line="240" w:lineRule="auto"/>
              <w:jc w:val="center"/>
              <w:rPr>
                <w:rFonts w:ascii="Palatino Linotype" w:eastAsia="SimSun" w:hAnsi="Palatino Linotype" w:cs="Arial"/>
                <w:color w:val="auto"/>
                <w:sz w:val="20"/>
                <w:szCs w:val="18"/>
                <w:lang w:val="en-GB" w:eastAsia="it-IT"/>
              </w:rPr>
            </w:pPr>
            <w:r w:rsidRPr="00024336">
              <w:rPr>
                <w:rFonts w:ascii="Palatino Linotype" w:eastAsia="SimSun" w:hAnsi="Palatino Linotype" w:cs="Arial"/>
                <w:color w:val="auto"/>
                <w:sz w:val="20"/>
                <w:szCs w:val="18"/>
                <w:lang w:val="en-GB" w:eastAsia="it-IT"/>
              </w:rPr>
              <w:t>Percentage</w:t>
            </w:r>
          </w:p>
        </w:tc>
        <w:tc>
          <w:tcPr>
            <w:tcW w:w="0" w:type="auto"/>
            <w:tcBorders>
              <w:top w:val="nil"/>
              <w:bottom w:val="single" w:sz="4" w:space="0" w:color="auto"/>
            </w:tcBorders>
            <w:shd w:val="clear" w:color="auto" w:fill="auto"/>
          </w:tcPr>
          <w:p w:rsidR="003C3009" w:rsidRPr="00024336" w:rsidRDefault="003C3009" w:rsidP="006B121A">
            <w:pPr>
              <w:autoSpaceDE w:val="0"/>
              <w:autoSpaceDN w:val="0"/>
              <w:spacing w:line="240" w:lineRule="auto"/>
              <w:jc w:val="center"/>
              <w:rPr>
                <w:rFonts w:ascii="Palatino Linotype" w:eastAsia="SimSun" w:hAnsi="Palatino Linotype" w:cs="Arial"/>
                <w:color w:val="auto"/>
                <w:sz w:val="20"/>
                <w:szCs w:val="18"/>
                <w:lang w:val="en-GB" w:eastAsia="it-IT"/>
              </w:rPr>
            </w:pPr>
            <w:r w:rsidRPr="00024336">
              <w:rPr>
                <w:rFonts w:ascii="Palatino Linotype" w:eastAsia="SimSun" w:hAnsi="Palatino Linotype" w:cs="Arial"/>
                <w:color w:val="auto"/>
                <w:sz w:val="20"/>
                <w:szCs w:val="18"/>
                <w:lang w:val="en-GB" w:eastAsia="it-IT"/>
              </w:rPr>
              <w:t>36.4%</w:t>
            </w:r>
          </w:p>
        </w:tc>
        <w:tc>
          <w:tcPr>
            <w:tcW w:w="0" w:type="auto"/>
            <w:tcBorders>
              <w:top w:val="nil"/>
              <w:bottom w:val="single" w:sz="4" w:space="0" w:color="auto"/>
            </w:tcBorders>
            <w:shd w:val="clear" w:color="auto" w:fill="auto"/>
          </w:tcPr>
          <w:p w:rsidR="003C3009" w:rsidRPr="00024336" w:rsidRDefault="003C3009" w:rsidP="006B121A">
            <w:pPr>
              <w:autoSpaceDE w:val="0"/>
              <w:autoSpaceDN w:val="0"/>
              <w:spacing w:line="240" w:lineRule="auto"/>
              <w:jc w:val="center"/>
              <w:rPr>
                <w:rFonts w:ascii="Palatino Linotype" w:eastAsia="SimSun" w:hAnsi="Palatino Linotype" w:cs="Arial"/>
                <w:color w:val="auto"/>
                <w:sz w:val="20"/>
                <w:szCs w:val="18"/>
                <w:lang w:val="en-GB" w:eastAsia="it-IT"/>
              </w:rPr>
            </w:pPr>
            <w:r w:rsidRPr="00024336">
              <w:rPr>
                <w:rFonts w:ascii="Palatino Linotype" w:eastAsia="SimSun" w:hAnsi="Palatino Linotype" w:cs="Arial"/>
                <w:color w:val="auto"/>
                <w:sz w:val="20"/>
                <w:szCs w:val="18"/>
                <w:lang w:val="en-GB" w:eastAsia="it-IT"/>
              </w:rPr>
              <w:t>40.0%</w:t>
            </w:r>
          </w:p>
        </w:tc>
        <w:tc>
          <w:tcPr>
            <w:tcW w:w="0" w:type="auto"/>
            <w:tcBorders>
              <w:top w:val="nil"/>
              <w:bottom w:val="single" w:sz="4" w:space="0" w:color="auto"/>
            </w:tcBorders>
            <w:shd w:val="clear" w:color="auto" w:fill="auto"/>
          </w:tcPr>
          <w:p w:rsidR="003C3009" w:rsidRPr="00024336" w:rsidRDefault="003C3009" w:rsidP="006B121A">
            <w:pPr>
              <w:autoSpaceDE w:val="0"/>
              <w:autoSpaceDN w:val="0"/>
              <w:spacing w:line="240" w:lineRule="auto"/>
              <w:jc w:val="center"/>
              <w:rPr>
                <w:rFonts w:ascii="Palatino Linotype" w:eastAsia="SimSun" w:hAnsi="Palatino Linotype" w:cs="Arial"/>
                <w:color w:val="auto"/>
                <w:sz w:val="20"/>
                <w:szCs w:val="18"/>
                <w:lang w:val="en-GB" w:eastAsia="it-IT"/>
              </w:rPr>
            </w:pPr>
            <w:r w:rsidRPr="00024336">
              <w:rPr>
                <w:rFonts w:ascii="Palatino Linotype" w:eastAsia="SimSun" w:hAnsi="Palatino Linotype" w:cs="Arial"/>
                <w:color w:val="auto"/>
                <w:sz w:val="20"/>
                <w:szCs w:val="18"/>
                <w:lang w:val="en-GB" w:eastAsia="it-IT"/>
              </w:rPr>
              <w:t>40.9%</w:t>
            </w:r>
          </w:p>
        </w:tc>
        <w:tc>
          <w:tcPr>
            <w:tcW w:w="0" w:type="auto"/>
            <w:tcBorders>
              <w:top w:val="nil"/>
              <w:bottom w:val="single" w:sz="4" w:space="0" w:color="auto"/>
            </w:tcBorders>
            <w:shd w:val="clear" w:color="auto" w:fill="auto"/>
          </w:tcPr>
          <w:p w:rsidR="003C3009" w:rsidRPr="00024336" w:rsidRDefault="003C3009" w:rsidP="006B121A">
            <w:pPr>
              <w:autoSpaceDE w:val="0"/>
              <w:autoSpaceDN w:val="0"/>
              <w:spacing w:line="240" w:lineRule="auto"/>
              <w:jc w:val="center"/>
              <w:rPr>
                <w:rFonts w:ascii="Palatino Linotype" w:eastAsia="SimSun" w:hAnsi="Palatino Linotype" w:cs="Arial"/>
                <w:color w:val="auto"/>
                <w:sz w:val="20"/>
                <w:szCs w:val="18"/>
                <w:lang w:val="en-GB" w:eastAsia="it-IT"/>
              </w:rPr>
            </w:pPr>
            <w:r w:rsidRPr="00024336">
              <w:rPr>
                <w:rFonts w:ascii="Palatino Linotype" w:eastAsia="SimSun" w:hAnsi="Palatino Linotype" w:cs="Arial"/>
                <w:color w:val="auto"/>
                <w:sz w:val="20"/>
                <w:szCs w:val="18"/>
                <w:lang w:val="en-GB" w:eastAsia="it-IT"/>
              </w:rPr>
              <w:t>39.0%</w:t>
            </w:r>
          </w:p>
        </w:tc>
      </w:tr>
      <w:tr w:rsidR="00EC56C7" w:rsidRPr="00024336" w:rsidTr="006B121A">
        <w:tc>
          <w:tcPr>
            <w:tcW w:w="0" w:type="auto"/>
            <w:vMerge/>
            <w:shd w:val="clear" w:color="auto" w:fill="auto"/>
          </w:tcPr>
          <w:p w:rsidR="003C3009" w:rsidRPr="00024336" w:rsidRDefault="003C3009" w:rsidP="006B121A">
            <w:pPr>
              <w:autoSpaceDE w:val="0"/>
              <w:autoSpaceDN w:val="0"/>
              <w:spacing w:line="240" w:lineRule="auto"/>
              <w:jc w:val="center"/>
              <w:rPr>
                <w:rFonts w:ascii="Palatino Linotype" w:eastAsia="SimSun" w:hAnsi="Palatino Linotype" w:cs="Arial"/>
                <w:color w:val="auto"/>
                <w:sz w:val="20"/>
                <w:szCs w:val="18"/>
                <w:lang w:val="en-GB" w:eastAsia="it-IT"/>
              </w:rPr>
            </w:pPr>
          </w:p>
        </w:tc>
        <w:tc>
          <w:tcPr>
            <w:tcW w:w="0" w:type="auto"/>
            <w:vMerge/>
            <w:shd w:val="clear" w:color="auto" w:fill="auto"/>
          </w:tcPr>
          <w:p w:rsidR="003C3009" w:rsidRPr="00024336" w:rsidRDefault="003C3009" w:rsidP="006B121A">
            <w:pPr>
              <w:autoSpaceDE w:val="0"/>
              <w:autoSpaceDN w:val="0"/>
              <w:spacing w:line="240" w:lineRule="auto"/>
              <w:jc w:val="center"/>
              <w:rPr>
                <w:rFonts w:ascii="Palatino Linotype" w:eastAsia="SimSun" w:hAnsi="Palatino Linotype" w:cs="Arial"/>
                <w:color w:val="auto"/>
                <w:sz w:val="20"/>
                <w:szCs w:val="18"/>
                <w:lang w:val="en-GB" w:eastAsia="it-IT"/>
              </w:rPr>
            </w:pPr>
          </w:p>
        </w:tc>
        <w:tc>
          <w:tcPr>
            <w:tcW w:w="0" w:type="auto"/>
            <w:vMerge w:val="restart"/>
            <w:tcBorders>
              <w:top w:val="single" w:sz="4" w:space="0" w:color="auto"/>
            </w:tcBorders>
            <w:shd w:val="clear" w:color="auto" w:fill="auto"/>
          </w:tcPr>
          <w:p w:rsidR="003C3009" w:rsidRPr="00024336" w:rsidRDefault="003C3009" w:rsidP="006B121A">
            <w:pPr>
              <w:autoSpaceDE w:val="0"/>
              <w:autoSpaceDN w:val="0"/>
              <w:spacing w:line="240" w:lineRule="auto"/>
              <w:jc w:val="center"/>
              <w:rPr>
                <w:rFonts w:ascii="Palatino Linotype" w:eastAsia="SimSun" w:hAnsi="Palatino Linotype" w:cs="Arial"/>
                <w:color w:val="auto"/>
                <w:sz w:val="20"/>
                <w:szCs w:val="18"/>
                <w:lang w:val="en-GB" w:eastAsia="it-IT"/>
              </w:rPr>
            </w:pPr>
            <w:r w:rsidRPr="00024336">
              <w:rPr>
                <w:rFonts w:ascii="Palatino Linotype" w:eastAsia="SimSun" w:hAnsi="Palatino Linotype" w:cs="Arial"/>
                <w:color w:val="auto"/>
                <w:sz w:val="20"/>
                <w:szCs w:val="18"/>
                <w:lang w:val="en-GB" w:eastAsia="it-IT"/>
              </w:rPr>
              <w:t>Excellent</w:t>
            </w:r>
          </w:p>
        </w:tc>
        <w:tc>
          <w:tcPr>
            <w:tcW w:w="0" w:type="auto"/>
            <w:tcBorders>
              <w:top w:val="single" w:sz="4" w:space="0" w:color="auto"/>
            </w:tcBorders>
            <w:shd w:val="clear" w:color="auto" w:fill="auto"/>
          </w:tcPr>
          <w:p w:rsidR="003C3009" w:rsidRPr="00024336" w:rsidRDefault="003C3009" w:rsidP="006B121A">
            <w:pPr>
              <w:autoSpaceDE w:val="0"/>
              <w:autoSpaceDN w:val="0"/>
              <w:spacing w:line="240" w:lineRule="auto"/>
              <w:jc w:val="center"/>
              <w:rPr>
                <w:rFonts w:ascii="Palatino Linotype" w:eastAsia="SimSun" w:hAnsi="Palatino Linotype" w:cs="Arial"/>
                <w:color w:val="auto"/>
                <w:sz w:val="20"/>
                <w:szCs w:val="18"/>
                <w:lang w:val="en-GB" w:eastAsia="it-IT"/>
              </w:rPr>
            </w:pPr>
            <w:r w:rsidRPr="00024336">
              <w:rPr>
                <w:rFonts w:ascii="Palatino Linotype" w:eastAsia="SimSun" w:hAnsi="Palatino Linotype" w:cs="Arial"/>
                <w:color w:val="auto"/>
                <w:sz w:val="20"/>
                <w:szCs w:val="18"/>
                <w:lang w:val="en-GB" w:eastAsia="it-IT"/>
              </w:rPr>
              <w:t>Number of patients</w:t>
            </w:r>
          </w:p>
        </w:tc>
        <w:tc>
          <w:tcPr>
            <w:tcW w:w="0" w:type="auto"/>
            <w:tcBorders>
              <w:top w:val="single" w:sz="4" w:space="0" w:color="auto"/>
            </w:tcBorders>
            <w:shd w:val="clear" w:color="auto" w:fill="auto"/>
          </w:tcPr>
          <w:p w:rsidR="003C3009" w:rsidRPr="00024336" w:rsidRDefault="003C3009" w:rsidP="006B121A">
            <w:pPr>
              <w:autoSpaceDE w:val="0"/>
              <w:autoSpaceDN w:val="0"/>
              <w:spacing w:line="240" w:lineRule="auto"/>
              <w:jc w:val="center"/>
              <w:rPr>
                <w:rFonts w:ascii="Palatino Linotype" w:eastAsia="SimSun" w:hAnsi="Palatino Linotype" w:cs="Arial"/>
                <w:color w:val="auto"/>
                <w:sz w:val="20"/>
                <w:szCs w:val="18"/>
                <w:lang w:val="en-GB" w:eastAsia="it-IT"/>
              </w:rPr>
            </w:pPr>
            <w:r w:rsidRPr="00024336">
              <w:rPr>
                <w:rFonts w:ascii="Palatino Linotype" w:eastAsia="SimSun" w:hAnsi="Palatino Linotype" w:cs="Arial"/>
                <w:color w:val="auto"/>
                <w:sz w:val="20"/>
                <w:szCs w:val="18"/>
                <w:lang w:val="en-GB" w:eastAsia="it-IT"/>
              </w:rPr>
              <w:t>14</w:t>
            </w:r>
          </w:p>
        </w:tc>
        <w:tc>
          <w:tcPr>
            <w:tcW w:w="0" w:type="auto"/>
            <w:tcBorders>
              <w:top w:val="single" w:sz="4" w:space="0" w:color="auto"/>
            </w:tcBorders>
            <w:shd w:val="clear" w:color="auto" w:fill="auto"/>
          </w:tcPr>
          <w:p w:rsidR="003C3009" w:rsidRPr="00024336" w:rsidRDefault="003C3009" w:rsidP="006B121A">
            <w:pPr>
              <w:autoSpaceDE w:val="0"/>
              <w:autoSpaceDN w:val="0"/>
              <w:spacing w:line="240" w:lineRule="auto"/>
              <w:jc w:val="center"/>
              <w:rPr>
                <w:rFonts w:ascii="Palatino Linotype" w:eastAsia="SimSun" w:hAnsi="Palatino Linotype" w:cs="Arial"/>
                <w:color w:val="auto"/>
                <w:sz w:val="20"/>
                <w:szCs w:val="18"/>
                <w:lang w:val="en-GB" w:eastAsia="it-IT"/>
              </w:rPr>
            </w:pPr>
            <w:r w:rsidRPr="00024336">
              <w:rPr>
                <w:rFonts w:ascii="Palatino Linotype" w:eastAsia="SimSun" w:hAnsi="Palatino Linotype" w:cs="Arial"/>
                <w:color w:val="auto"/>
                <w:sz w:val="20"/>
                <w:szCs w:val="18"/>
                <w:lang w:val="en-GB" w:eastAsia="it-IT"/>
              </w:rPr>
              <w:t>9</w:t>
            </w:r>
          </w:p>
        </w:tc>
        <w:tc>
          <w:tcPr>
            <w:tcW w:w="0" w:type="auto"/>
            <w:tcBorders>
              <w:top w:val="single" w:sz="4" w:space="0" w:color="auto"/>
            </w:tcBorders>
            <w:shd w:val="clear" w:color="auto" w:fill="auto"/>
          </w:tcPr>
          <w:p w:rsidR="003C3009" w:rsidRPr="00024336" w:rsidRDefault="003C3009" w:rsidP="006B121A">
            <w:pPr>
              <w:autoSpaceDE w:val="0"/>
              <w:autoSpaceDN w:val="0"/>
              <w:spacing w:line="240" w:lineRule="auto"/>
              <w:jc w:val="center"/>
              <w:rPr>
                <w:rFonts w:ascii="Palatino Linotype" w:eastAsia="SimSun" w:hAnsi="Palatino Linotype" w:cs="Arial"/>
                <w:color w:val="auto"/>
                <w:sz w:val="20"/>
                <w:szCs w:val="18"/>
                <w:lang w:val="en-GB" w:eastAsia="it-IT"/>
              </w:rPr>
            </w:pPr>
            <w:r w:rsidRPr="00024336">
              <w:rPr>
                <w:rFonts w:ascii="Palatino Linotype" w:eastAsia="SimSun" w:hAnsi="Palatino Linotype" w:cs="Arial"/>
                <w:color w:val="auto"/>
                <w:sz w:val="20"/>
                <w:szCs w:val="18"/>
                <w:lang w:val="en-GB" w:eastAsia="it-IT"/>
              </w:rPr>
              <w:t>13</w:t>
            </w:r>
          </w:p>
        </w:tc>
        <w:tc>
          <w:tcPr>
            <w:tcW w:w="0" w:type="auto"/>
            <w:tcBorders>
              <w:top w:val="single" w:sz="4" w:space="0" w:color="auto"/>
            </w:tcBorders>
            <w:shd w:val="clear" w:color="auto" w:fill="auto"/>
          </w:tcPr>
          <w:p w:rsidR="003C3009" w:rsidRPr="00024336" w:rsidRDefault="003C3009" w:rsidP="006B121A">
            <w:pPr>
              <w:autoSpaceDE w:val="0"/>
              <w:autoSpaceDN w:val="0"/>
              <w:spacing w:line="240" w:lineRule="auto"/>
              <w:jc w:val="center"/>
              <w:rPr>
                <w:rFonts w:ascii="Palatino Linotype" w:eastAsia="SimSun" w:hAnsi="Palatino Linotype" w:cs="Arial"/>
                <w:color w:val="auto"/>
                <w:sz w:val="20"/>
                <w:szCs w:val="18"/>
                <w:lang w:val="en-GB" w:eastAsia="it-IT"/>
              </w:rPr>
            </w:pPr>
            <w:r w:rsidRPr="00024336">
              <w:rPr>
                <w:rFonts w:ascii="Palatino Linotype" w:eastAsia="SimSun" w:hAnsi="Palatino Linotype" w:cs="Arial"/>
                <w:color w:val="auto"/>
                <w:sz w:val="20"/>
                <w:szCs w:val="18"/>
                <w:lang w:val="en-GB" w:eastAsia="it-IT"/>
              </w:rPr>
              <w:t>36</w:t>
            </w:r>
          </w:p>
        </w:tc>
      </w:tr>
      <w:tr w:rsidR="00EC56C7" w:rsidRPr="00024336" w:rsidTr="006B121A">
        <w:tc>
          <w:tcPr>
            <w:tcW w:w="0" w:type="auto"/>
            <w:vMerge/>
            <w:tcBorders>
              <w:bottom w:val="single" w:sz="8" w:space="0" w:color="auto"/>
            </w:tcBorders>
            <w:shd w:val="clear" w:color="auto" w:fill="auto"/>
          </w:tcPr>
          <w:p w:rsidR="003C3009" w:rsidRPr="00024336" w:rsidRDefault="003C3009" w:rsidP="006B121A">
            <w:pPr>
              <w:autoSpaceDE w:val="0"/>
              <w:autoSpaceDN w:val="0"/>
              <w:spacing w:line="240" w:lineRule="auto"/>
              <w:jc w:val="center"/>
              <w:rPr>
                <w:rFonts w:ascii="Palatino Linotype" w:eastAsia="SimSun" w:hAnsi="Palatino Linotype" w:cs="Arial"/>
                <w:color w:val="auto"/>
                <w:sz w:val="20"/>
                <w:szCs w:val="18"/>
                <w:lang w:val="en-GB" w:eastAsia="it-IT"/>
              </w:rPr>
            </w:pPr>
          </w:p>
        </w:tc>
        <w:tc>
          <w:tcPr>
            <w:tcW w:w="0" w:type="auto"/>
            <w:vMerge/>
            <w:tcBorders>
              <w:bottom w:val="single" w:sz="8" w:space="0" w:color="auto"/>
            </w:tcBorders>
            <w:shd w:val="clear" w:color="auto" w:fill="auto"/>
          </w:tcPr>
          <w:p w:rsidR="003C3009" w:rsidRPr="00024336" w:rsidRDefault="003C3009" w:rsidP="006B121A">
            <w:pPr>
              <w:autoSpaceDE w:val="0"/>
              <w:autoSpaceDN w:val="0"/>
              <w:spacing w:line="240" w:lineRule="auto"/>
              <w:jc w:val="center"/>
              <w:rPr>
                <w:rFonts w:ascii="Palatino Linotype" w:eastAsia="SimSun" w:hAnsi="Palatino Linotype" w:cs="Arial"/>
                <w:color w:val="auto"/>
                <w:sz w:val="20"/>
                <w:szCs w:val="18"/>
                <w:lang w:val="en-GB" w:eastAsia="it-IT"/>
              </w:rPr>
            </w:pPr>
          </w:p>
        </w:tc>
        <w:tc>
          <w:tcPr>
            <w:tcW w:w="0" w:type="auto"/>
            <w:vMerge/>
            <w:tcBorders>
              <w:bottom w:val="single" w:sz="8" w:space="0" w:color="auto"/>
            </w:tcBorders>
            <w:shd w:val="clear" w:color="auto" w:fill="auto"/>
          </w:tcPr>
          <w:p w:rsidR="003C3009" w:rsidRPr="00024336" w:rsidRDefault="003C3009" w:rsidP="006B121A">
            <w:pPr>
              <w:autoSpaceDE w:val="0"/>
              <w:autoSpaceDN w:val="0"/>
              <w:spacing w:line="240" w:lineRule="auto"/>
              <w:jc w:val="center"/>
              <w:rPr>
                <w:rFonts w:ascii="Palatino Linotype" w:eastAsia="SimSun" w:hAnsi="Palatino Linotype" w:cs="Arial"/>
                <w:color w:val="auto"/>
                <w:sz w:val="20"/>
                <w:szCs w:val="18"/>
                <w:lang w:val="en-GB" w:eastAsia="it-IT"/>
              </w:rPr>
            </w:pPr>
          </w:p>
        </w:tc>
        <w:tc>
          <w:tcPr>
            <w:tcW w:w="0" w:type="auto"/>
            <w:tcBorders>
              <w:bottom w:val="single" w:sz="8" w:space="0" w:color="auto"/>
            </w:tcBorders>
            <w:shd w:val="clear" w:color="auto" w:fill="auto"/>
          </w:tcPr>
          <w:p w:rsidR="003C3009" w:rsidRPr="00024336" w:rsidRDefault="003C3009" w:rsidP="006B121A">
            <w:pPr>
              <w:autoSpaceDE w:val="0"/>
              <w:autoSpaceDN w:val="0"/>
              <w:spacing w:line="240" w:lineRule="auto"/>
              <w:jc w:val="center"/>
              <w:rPr>
                <w:rFonts w:ascii="Palatino Linotype" w:eastAsia="SimSun" w:hAnsi="Palatino Linotype" w:cs="Arial"/>
                <w:color w:val="auto"/>
                <w:sz w:val="20"/>
                <w:szCs w:val="18"/>
                <w:lang w:val="en-GB" w:eastAsia="it-IT"/>
              </w:rPr>
            </w:pPr>
            <w:r w:rsidRPr="00024336">
              <w:rPr>
                <w:rFonts w:ascii="Palatino Linotype" w:eastAsia="SimSun" w:hAnsi="Palatino Linotype" w:cs="Arial"/>
                <w:color w:val="auto"/>
                <w:sz w:val="20"/>
                <w:szCs w:val="18"/>
                <w:lang w:val="en-GB" w:eastAsia="it-IT"/>
              </w:rPr>
              <w:t>Percentage</w:t>
            </w:r>
          </w:p>
        </w:tc>
        <w:tc>
          <w:tcPr>
            <w:tcW w:w="0" w:type="auto"/>
            <w:tcBorders>
              <w:bottom w:val="single" w:sz="8" w:space="0" w:color="auto"/>
            </w:tcBorders>
            <w:shd w:val="clear" w:color="auto" w:fill="auto"/>
          </w:tcPr>
          <w:p w:rsidR="003C3009" w:rsidRPr="00024336" w:rsidRDefault="003C3009" w:rsidP="006B121A">
            <w:pPr>
              <w:autoSpaceDE w:val="0"/>
              <w:autoSpaceDN w:val="0"/>
              <w:spacing w:line="240" w:lineRule="auto"/>
              <w:jc w:val="center"/>
              <w:rPr>
                <w:rFonts w:ascii="Palatino Linotype" w:eastAsia="SimSun" w:hAnsi="Palatino Linotype" w:cs="Arial"/>
                <w:color w:val="auto"/>
                <w:sz w:val="20"/>
                <w:szCs w:val="18"/>
                <w:lang w:val="en-GB" w:eastAsia="it-IT"/>
              </w:rPr>
            </w:pPr>
            <w:r w:rsidRPr="00024336">
              <w:rPr>
                <w:rFonts w:ascii="Palatino Linotype" w:eastAsia="SimSun" w:hAnsi="Palatino Linotype" w:cs="Arial"/>
                <w:color w:val="auto"/>
                <w:sz w:val="20"/>
                <w:szCs w:val="18"/>
                <w:lang w:val="en-GB" w:eastAsia="it-IT"/>
              </w:rPr>
              <w:t>63.6%</w:t>
            </w:r>
          </w:p>
        </w:tc>
        <w:tc>
          <w:tcPr>
            <w:tcW w:w="0" w:type="auto"/>
            <w:tcBorders>
              <w:bottom w:val="single" w:sz="8" w:space="0" w:color="auto"/>
            </w:tcBorders>
            <w:shd w:val="clear" w:color="auto" w:fill="auto"/>
          </w:tcPr>
          <w:p w:rsidR="003C3009" w:rsidRPr="00024336" w:rsidRDefault="003C3009" w:rsidP="006B121A">
            <w:pPr>
              <w:autoSpaceDE w:val="0"/>
              <w:autoSpaceDN w:val="0"/>
              <w:spacing w:line="240" w:lineRule="auto"/>
              <w:jc w:val="center"/>
              <w:rPr>
                <w:rFonts w:ascii="Palatino Linotype" w:eastAsia="SimSun" w:hAnsi="Palatino Linotype" w:cs="Arial"/>
                <w:color w:val="auto"/>
                <w:sz w:val="20"/>
                <w:szCs w:val="18"/>
                <w:lang w:val="en-GB" w:eastAsia="it-IT"/>
              </w:rPr>
            </w:pPr>
            <w:r w:rsidRPr="00024336">
              <w:rPr>
                <w:rFonts w:ascii="Palatino Linotype" w:eastAsia="SimSun" w:hAnsi="Palatino Linotype" w:cs="Arial"/>
                <w:color w:val="auto"/>
                <w:sz w:val="20"/>
                <w:szCs w:val="18"/>
                <w:lang w:val="en-GB" w:eastAsia="it-IT"/>
              </w:rPr>
              <w:t>60.0%</w:t>
            </w:r>
          </w:p>
        </w:tc>
        <w:tc>
          <w:tcPr>
            <w:tcW w:w="0" w:type="auto"/>
            <w:tcBorders>
              <w:bottom w:val="single" w:sz="8" w:space="0" w:color="auto"/>
            </w:tcBorders>
            <w:shd w:val="clear" w:color="auto" w:fill="auto"/>
          </w:tcPr>
          <w:p w:rsidR="003C3009" w:rsidRPr="00024336" w:rsidRDefault="003C3009" w:rsidP="006B121A">
            <w:pPr>
              <w:autoSpaceDE w:val="0"/>
              <w:autoSpaceDN w:val="0"/>
              <w:spacing w:line="240" w:lineRule="auto"/>
              <w:jc w:val="center"/>
              <w:rPr>
                <w:rFonts w:ascii="Palatino Linotype" w:eastAsia="SimSun" w:hAnsi="Palatino Linotype" w:cs="Arial"/>
                <w:color w:val="auto"/>
                <w:sz w:val="20"/>
                <w:szCs w:val="18"/>
                <w:lang w:val="en-GB" w:eastAsia="it-IT"/>
              </w:rPr>
            </w:pPr>
            <w:r w:rsidRPr="00024336">
              <w:rPr>
                <w:rFonts w:ascii="Palatino Linotype" w:eastAsia="SimSun" w:hAnsi="Palatino Linotype" w:cs="Arial"/>
                <w:color w:val="auto"/>
                <w:sz w:val="20"/>
                <w:szCs w:val="18"/>
                <w:lang w:val="en-GB" w:eastAsia="it-IT"/>
              </w:rPr>
              <w:t>59.1%</w:t>
            </w:r>
          </w:p>
        </w:tc>
        <w:tc>
          <w:tcPr>
            <w:tcW w:w="0" w:type="auto"/>
            <w:tcBorders>
              <w:bottom w:val="single" w:sz="8" w:space="0" w:color="auto"/>
            </w:tcBorders>
            <w:shd w:val="clear" w:color="auto" w:fill="auto"/>
          </w:tcPr>
          <w:p w:rsidR="003C3009" w:rsidRPr="00024336" w:rsidRDefault="003C3009" w:rsidP="006B121A">
            <w:pPr>
              <w:autoSpaceDE w:val="0"/>
              <w:autoSpaceDN w:val="0"/>
              <w:spacing w:line="240" w:lineRule="auto"/>
              <w:jc w:val="center"/>
              <w:rPr>
                <w:rFonts w:ascii="Palatino Linotype" w:eastAsia="SimSun" w:hAnsi="Palatino Linotype" w:cs="Arial"/>
                <w:color w:val="auto"/>
                <w:sz w:val="20"/>
                <w:szCs w:val="18"/>
                <w:lang w:val="en-GB" w:eastAsia="it-IT"/>
              </w:rPr>
            </w:pPr>
            <w:r w:rsidRPr="00024336">
              <w:rPr>
                <w:rFonts w:ascii="Palatino Linotype" w:eastAsia="SimSun" w:hAnsi="Palatino Linotype" w:cs="Arial"/>
                <w:color w:val="auto"/>
                <w:sz w:val="20"/>
                <w:szCs w:val="18"/>
                <w:lang w:val="en-GB" w:eastAsia="it-IT"/>
              </w:rPr>
              <w:t>61.0%</w:t>
            </w:r>
          </w:p>
        </w:tc>
      </w:tr>
    </w:tbl>
    <w:p w:rsidR="003C3009" w:rsidRPr="00024336" w:rsidRDefault="003C3009" w:rsidP="00220F22">
      <w:pPr>
        <w:pStyle w:val="MDPI43tablefooter"/>
        <w:jc w:val="center"/>
        <w:rPr>
          <w:rFonts w:eastAsia="SimSun"/>
          <w:lang w:val="it-IT" w:eastAsia="it-IT"/>
        </w:rPr>
      </w:pPr>
      <w:r w:rsidRPr="00024336">
        <w:rPr>
          <w:rFonts w:eastAsia="SimSun"/>
          <w:bCs/>
          <w:lang w:val="it-IT" w:eastAsia="it-IT"/>
        </w:rPr>
        <w:t>Girls:</w:t>
      </w:r>
      <w:r w:rsidRPr="00024336">
        <w:rPr>
          <w:rFonts w:eastAsia="SimSun"/>
          <w:lang w:val="it-IT" w:eastAsia="it-IT"/>
        </w:rPr>
        <w:t xml:space="preserve"> Chi Square (</w:t>
      </w:r>
      <w:r w:rsidRPr="00024336">
        <w:rPr>
          <w:lang w:val="it-IT"/>
        </w:rPr>
        <w:t>X</w:t>
      </w:r>
      <w:r w:rsidRPr="00024336">
        <w:rPr>
          <w:vertAlign w:val="superscript"/>
          <w:lang w:val="it-IT"/>
        </w:rPr>
        <w:t>2</w:t>
      </w:r>
      <w:r w:rsidRPr="00024336">
        <w:rPr>
          <w:lang w:val="it-IT"/>
        </w:rPr>
        <w:t>)</w:t>
      </w:r>
      <w:r w:rsidRPr="00024336">
        <w:rPr>
          <w:rFonts w:eastAsia="SimSun"/>
          <w:lang w:val="it-IT" w:eastAsia="it-IT"/>
        </w:rPr>
        <w:t xml:space="preserve"> = </w:t>
      </w:r>
      <w:r w:rsidR="002C2B83" w:rsidRPr="00024336">
        <w:rPr>
          <w:rFonts w:eastAsia="SimSun"/>
          <w:lang w:val="it-IT" w:eastAsia="it-IT"/>
        </w:rPr>
        <w:t>11</w:t>
      </w:r>
      <w:r w:rsidRPr="00024336">
        <w:rPr>
          <w:rFonts w:eastAsia="SimSun"/>
          <w:lang w:val="it-IT" w:eastAsia="it-IT"/>
        </w:rPr>
        <w:t>.</w:t>
      </w:r>
      <w:r w:rsidR="002C2B83" w:rsidRPr="00024336">
        <w:rPr>
          <w:rFonts w:eastAsia="SimSun"/>
          <w:lang w:val="it-IT" w:eastAsia="it-IT"/>
        </w:rPr>
        <w:t>2</w:t>
      </w:r>
      <w:r w:rsidR="00363308" w:rsidRPr="00024336">
        <w:rPr>
          <w:rFonts w:eastAsia="SimSun"/>
          <w:i/>
          <w:lang w:val="it-IT" w:eastAsia="it-IT"/>
        </w:rPr>
        <w:t>p</w:t>
      </w:r>
      <w:r w:rsidRPr="00024336">
        <w:rPr>
          <w:rFonts w:eastAsia="SimSun"/>
          <w:lang w:val="it-IT" w:eastAsia="it-IT"/>
        </w:rPr>
        <w:t xml:space="preserve"> = 0.0</w:t>
      </w:r>
      <w:r w:rsidR="002C2B83" w:rsidRPr="00024336">
        <w:rPr>
          <w:rFonts w:eastAsia="SimSun"/>
          <w:lang w:val="it-IT" w:eastAsia="it-IT"/>
        </w:rPr>
        <w:t>2</w:t>
      </w:r>
      <w:r w:rsidRPr="00024336">
        <w:rPr>
          <w:rFonts w:eastAsia="SimSun"/>
          <w:lang w:val="it-IT" w:eastAsia="it-IT"/>
        </w:rPr>
        <w:t xml:space="preserve">; </w:t>
      </w:r>
      <w:r w:rsidRPr="00024336">
        <w:rPr>
          <w:rFonts w:eastAsia="SimSun"/>
          <w:bCs/>
          <w:lang w:val="it-IT" w:eastAsia="it-IT"/>
        </w:rPr>
        <w:t>Boys:</w:t>
      </w:r>
      <w:r w:rsidRPr="00024336">
        <w:rPr>
          <w:rFonts w:eastAsia="SimSun"/>
          <w:lang w:val="it-IT" w:eastAsia="it-IT"/>
        </w:rPr>
        <w:t xml:space="preserve"> Chi Square (</w:t>
      </w:r>
      <w:r w:rsidRPr="00024336">
        <w:rPr>
          <w:lang w:val="it-IT"/>
        </w:rPr>
        <w:t>X</w:t>
      </w:r>
      <w:r w:rsidRPr="00024336">
        <w:rPr>
          <w:vertAlign w:val="superscript"/>
          <w:lang w:val="it-IT"/>
        </w:rPr>
        <w:t>2</w:t>
      </w:r>
      <w:r w:rsidRPr="00024336">
        <w:rPr>
          <w:lang w:val="it-IT"/>
        </w:rPr>
        <w:t>)</w:t>
      </w:r>
      <w:r w:rsidRPr="00024336">
        <w:rPr>
          <w:rFonts w:eastAsia="SimSun"/>
          <w:lang w:val="it-IT" w:eastAsia="it-IT"/>
        </w:rPr>
        <w:t xml:space="preserve"> = 0.</w:t>
      </w:r>
      <w:r w:rsidR="002C2B83" w:rsidRPr="00024336">
        <w:rPr>
          <w:rFonts w:eastAsia="SimSun"/>
          <w:lang w:val="it-IT" w:eastAsia="it-IT"/>
        </w:rPr>
        <w:t>3</w:t>
      </w:r>
      <w:r w:rsidR="00363308" w:rsidRPr="00024336">
        <w:rPr>
          <w:rFonts w:eastAsia="SimSun"/>
          <w:i/>
          <w:lang w:val="it-IT" w:eastAsia="it-IT"/>
        </w:rPr>
        <w:t>p</w:t>
      </w:r>
      <w:r w:rsidRPr="00024336">
        <w:rPr>
          <w:rFonts w:eastAsia="SimSun"/>
          <w:lang w:val="it-IT" w:eastAsia="it-IT"/>
        </w:rPr>
        <w:t xml:space="preserve"> = 0.9</w:t>
      </w:r>
      <w:r w:rsidR="00220F22" w:rsidRPr="00024336">
        <w:rPr>
          <w:rFonts w:eastAsia="SimSun"/>
          <w:lang w:val="it-IT" w:eastAsia="it-IT"/>
        </w:rPr>
        <w:t>.</w:t>
      </w:r>
    </w:p>
    <w:p w:rsidR="003C3009" w:rsidRPr="00024336" w:rsidRDefault="00220F22" w:rsidP="00220F22">
      <w:pPr>
        <w:pStyle w:val="MDPI23heading3"/>
        <w:rPr>
          <w:lang w:val="en-GB"/>
        </w:rPr>
      </w:pPr>
      <w:r w:rsidRPr="00024336">
        <w:rPr>
          <w:lang w:val="en-GB"/>
        </w:rPr>
        <w:t xml:space="preserve">3.2.3. </w:t>
      </w:r>
      <w:r w:rsidR="003C3009" w:rsidRPr="00024336">
        <w:rPr>
          <w:lang w:val="en-GB"/>
        </w:rPr>
        <w:t>Factors related to the disease</w:t>
      </w:r>
    </w:p>
    <w:p w:rsidR="003C3009" w:rsidRPr="00024336" w:rsidRDefault="003C3009" w:rsidP="001C4148">
      <w:pPr>
        <w:pStyle w:val="MDPI31text"/>
        <w:spacing w:before="240" w:after="120"/>
        <w:ind w:firstLine="0"/>
        <w:jc w:val="left"/>
        <w:outlineLvl w:val="3"/>
        <w:rPr>
          <w:b/>
          <w:color w:val="auto"/>
          <w:lang w:val="en-GB"/>
        </w:rPr>
      </w:pPr>
      <w:r w:rsidRPr="00024336">
        <w:rPr>
          <w:color w:val="auto"/>
          <w:lang w:val="en-GB"/>
        </w:rPr>
        <w:t xml:space="preserve">Age at </w:t>
      </w:r>
      <w:r w:rsidR="001C4148" w:rsidRPr="00024336">
        <w:rPr>
          <w:color w:val="auto"/>
          <w:lang w:val="en-GB"/>
        </w:rPr>
        <w:t xml:space="preserve">Diagnosis </w:t>
      </w:r>
      <w:r w:rsidRPr="00024336">
        <w:rPr>
          <w:color w:val="auto"/>
          <w:lang w:val="en-GB"/>
        </w:rPr>
        <w:t xml:space="preserve">and </w:t>
      </w:r>
      <w:r w:rsidR="001C4148" w:rsidRPr="00024336">
        <w:rPr>
          <w:color w:val="auto"/>
          <w:lang w:val="en-GB"/>
        </w:rPr>
        <w:t xml:space="preserve">Length </w:t>
      </w:r>
      <w:r w:rsidRPr="00024336">
        <w:rPr>
          <w:color w:val="auto"/>
          <w:lang w:val="en-GB"/>
        </w:rPr>
        <w:t xml:space="preserve">of </w:t>
      </w:r>
      <w:r w:rsidR="001C4148" w:rsidRPr="00024336">
        <w:rPr>
          <w:color w:val="auto"/>
          <w:lang w:val="en-GB"/>
        </w:rPr>
        <w:t>Follow Up</w:t>
      </w:r>
    </w:p>
    <w:p w:rsidR="003C3009" w:rsidRPr="00024336" w:rsidRDefault="003C3009" w:rsidP="00220F22">
      <w:pPr>
        <w:pStyle w:val="MDPI31text"/>
        <w:rPr>
          <w:b/>
          <w:lang w:val="en-GB"/>
        </w:rPr>
      </w:pPr>
      <w:r w:rsidRPr="00024336">
        <w:rPr>
          <w:lang w:val="en-GB"/>
        </w:rPr>
        <w:t>In our patients</w:t>
      </w:r>
      <w:r w:rsidR="0092347C" w:rsidRPr="00024336">
        <w:rPr>
          <w:lang w:val="en-GB"/>
        </w:rPr>
        <w:t>,</w:t>
      </w:r>
      <w:r w:rsidRPr="00024336">
        <w:rPr>
          <w:lang w:val="en-GB"/>
        </w:rPr>
        <w:t xml:space="preserve"> the average age at diagnosis was 7.2</w:t>
      </w:r>
      <w:r w:rsidR="00220F22" w:rsidRPr="00024336">
        <w:rPr>
          <w:lang w:val="en-GB"/>
        </w:rPr>
        <w:t xml:space="preserve"> ± </w:t>
      </w:r>
      <w:r w:rsidRPr="00024336">
        <w:rPr>
          <w:lang w:val="en-GB"/>
        </w:rPr>
        <w:t>4.6 years. According to our analysis, the age at diagnosis did not affect significantly adherence to GFD (ANOVA F= 0.228</w:t>
      </w:r>
      <w:r w:rsidR="00E267EC" w:rsidRPr="00024336">
        <w:rPr>
          <w:lang w:val="en-GB"/>
        </w:rPr>
        <w:t>,</w:t>
      </w:r>
      <w:r w:rsidR="00363308" w:rsidRPr="00024336">
        <w:rPr>
          <w:i/>
          <w:lang w:val="en-GB"/>
        </w:rPr>
        <w:t>p</w:t>
      </w:r>
      <w:r w:rsidR="00E267EC" w:rsidRPr="00024336">
        <w:rPr>
          <w:i/>
          <w:lang w:val="en-GB"/>
        </w:rPr>
        <w:t xml:space="preserve"> =</w:t>
      </w:r>
      <w:r w:rsidRPr="00024336">
        <w:rPr>
          <w:lang w:val="en-GB"/>
        </w:rPr>
        <w:t xml:space="preserve"> 0.634). Average length of follow up was 4.55</w:t>
      </w:r>
      <w:r w:rsidR="00220F22" w:rsidRPr="00024336">
        <w:rPr>
          <w:lang w:val="en-GB"/>
        </w:rPr>
        <w:t xml:space="preserve"> ± </w:t>
      </w:r>
      <w:r w:rsidRPr="00024336">
        <w:rPr>
          <w:lang w:val="en-GB"/>
        </w:rPr>
        <w:t xml:space="preserve">3.95 years (range </w:t>
      </w:r>
      <w:r w:rsidR="00F06A27" w:rsidRPr="00024336">
        <w:rPr>
          <w:lang w:val="en-GB"/>
        </w:rPr>
        <w:t>1–18</w:t>
      </w:r>
      <w:r w:rsidRPr="00024336">
        <w:rPr>
          <w:lang w:val="en-GB"/>
        </w:rPr>
        <w:t>). Interestingly, we observed an inverse correlation between grade of adherence and average length of follow up (ANOVA F test for linearity = 6.82</w:t>
      </w:r>
      <w:r w:rsidR="00E267EC" w:rsidRPr="00024336">
        <w:rPr>
          <w:lang w:val="en-GB"/>
        </w:rPr>
        <w:t>,</w:t>
      </w:r>
      <w:r w:rsidR="00363308" w:rsidRPr="00024336">
        <w:rPr>
          <w:i/>
          <w:lang w:val="en-GB"/>
        </w:rPr>
        <w:t>p</w:t>
      </w:r>
      <w:r w:rsidR="00E267EC" w:rsidRPr="00024336">
        <w:rPr>
          <w:i/>
          <w:lang w:val="en-GB"/>
        </w:rPr>
        <w:t xml:space="preserve"> =</w:t>
      </w:r>
      <w:r w:rsidRPr="00024336">
        <w:rPr>
          <w:lang w:val="en-GB"/>
        </w:rPr>
        <w:t xml:space="preserve"> 0.01): average length of follow up went, indeed, from 3.88 years in patients with excellent adherence to 5.52 years in those with lower adherence.</w:t>
      </w:r>
    </w:p>
    <w:p w:rsidR="003C3009" w:rsidRPr="00024336" w:rsidRDefault="003C3009" w:rsidP="001C4148">
      <w:pPr>
        <w:pStyle w:val="MDPI31text"/>
        <w:spacing w:before="240" w:after="120"/>
        <w:ind w:firstLine="0"/>
        <w:jc w:val="left"/>
        <w:outlineLvl w:val="3"/>
        <w:rPr>
          <w:b/>
          <w:color w:val="auto"/>
          <w:lang w:val="en-GB"/>
        </w:rPr>
      </w:pPr>
      <w:r w:rsidRPr="00024336">
        <w:rPr>
          <w:color w:val="auto"/>
          <w:lang w:val="en-GB"/>
        </w:rPr>
        <w:t xml:space="preserve">Diagnostic </w:t>
      </w:r>
      <w:r w:rsidR="001C4148" w:rsidRPr="00024336">
        <w:rPr>
          <w:color w:val="auto"/>
          <w:lang w:val="en-GB"/>
        </w:rPr>
        <w:t>Approach</w:t>
      </w:r>
    </w:p>
    <w:p w:rsidR="003C3009" w:rsidRPr="00024336" w:rsidRDefault="003C3009" w:rsidP="00A61228">
      <w:pPr>
        <w:pStyle w:val="MDPI31text"/>
        <w:rPr>
          <w:b/>
          <w:lang w:val="en-GB"/>
        </w:rPr>
      </w:pPr>
      <w:r w:rsidRPr="00024336">
        <w:rPr>
          <w:lang w:val="en-GB"/>
        </w:rPr>
        <w:t>Of all the patients, 132 were diagnosed by performing intes</w:t>
      </w:r>
      <w:r w:rsidR="00A61228" w:rsidRPr="00024336">
        <w:rPr>
          <w:lang w:val="en-GB"/>
        </w:rPr>
        <w:t>tinal biopsy, while in 27 (16.8</w:t>
      </w:r>
      <w:r w:rsidRPr="00024336">
        <w:rPr>
          <w:lang w:val="en-GB"/>
        </w:rPr>
        <w:t>%) a biopsy sparing approach according to 2012 ESPGHAN guidelines</w:t>
      </w:r>
      <w:r w:rsidR="00024336" w:rsidRPr="00024336">
        <w:rPr>
          <w:lang w:val="en-GB"/>
        </w:rPr>
        <w:t>[15]</w:t>
      </w:r>
      <w:r w:rsidRPr="00024336">
        <w:rPr>
          <w:lang w:val="en-GB"/>
        </w:rPr>
        <w:t xml:space="preserve"> was adopted. Interestingly, statistically significative higher score of adherence to GFD were observed in children diagnosed with biopsy, 60% excellent if diagnosed with biopsy versus 42% if diagnosed without it (X</w:t>
      </w:r>
      <w:r w:rsidRPr="00024336">
        <w:rPr>
          <w:vertAlign w:val="superscript"/>
          <w:lang w:val="en-GB"/>
        </w:rPr>
        <w:t>2</w:t>
      </w:r>
      <w:r w:rsidR="00E267EC" w:rsidRPr="00024336">
        <w:rPr>
          <w:lang w:val="en-GB"/>
        </w:rPr>
        <w:t xml:space="preserve"> =</w:t>
      </w:r>
      <w:r w:rsidRPr="00024336">
        <w:rPr>
          <w:lang w:val="en-GB"/>
        </w:rPr>
        <w:t xml:space="preserve"> 6.66</w:t>
      </w:r>
      <w:r w:rsidR="00C01472" w:rsidRPr="00024336">
        <w:rPr>
          <w:lang w:val="en-GB"/>
        </w:rPr>
        <w:t>,</w:t>
      </w:r>
      <w:r w:rsidR="00363308" w:rsidRPr="00024336">
        <w:rPr>
          <w:i/>
          <w:lang w:val="en-GB"/>
        </w:rPr>
        <w:t>p</w:t>
      </w:r>
      <w:r w:rsidR="00E267EC" w:rsidRPr="00024336">
        <w:rPr>
          <w:i/>
          <w:lang w:val="en-GB"/>
        </w:rPr>
        <w:t xml:space="preserve"> =</w:t>
      </w:r>
      <w:r w:rsidRPr="00024336">
        <w:rPr>
          <w:lang w:val="en-GB"/>
        </w:rPr>
        <w:t>0.036).</w:t>
      </w:r>
    </w:p>
    <w:p w:rsidR="003C3009" w:rsidRPr="00024336" w:rsidRDefault="00A61228" w:rsidP="00A61228">
      <w:pPr>
        <w:pStyle w:val="MDPI22heading2"/>
        <w:rPr>
          <w:lang w:val="en-GB"/>
        </w:rPr>
      </w:pPr>
      <w:r w:rsidRPr="00024336">
        <w:rPr>
          <w:lang w:val="en-GB"/>
        </w:rPr>
        <w:t xml:space="preserve">3.3. </w:t>
      </w:r>
      <w:r w:rsidR="003C3009" w:rsidRPr="00024336">
        <w:rPr>
          <w:lang w:val="en-GB"/>
        </w:rPr>
        <w:t xml:space="preserve">Outcomes </w:t>
      </w:r>
      <w:r w:rsidRPr="00024336">
        <w:rPr>
          <w:lang w:val="en-GB"/>
        </w:rPr>
        <w:t xml:space="preserve">Related </w:t>
      </w:r>
      <w:r w:rsidR="003C3009" w:rsidRPr="00024336">
        <w:rPr>
          <w:lang w:val="en-GB"/>
        </w:rPr>
        <w:t xml:space="preserve">to </w:t>
      </w:r>
      <w:r w:rsidRPr="00024336">
        <w:rPr>
          <w:lang w:val="en-GB"/>
        </w:rPr>
        <w:t>Diet Adherence</w:t>
      </w:r>
    </w:p>
    <w:p w:rsidR="003C3009" w:rsidRPr="00024336" w:rsidRDefault="00A61228" w:rsidP="00A61228">
      <w:pPr>
        <w:pStyle w:val="MDPI23heading3"/>
        <w:rPr>
          <w:lang w:val="en-GB"/>
        </w:rPr>
      </w:pPr>
      <w:r w:rsidRPr="00024336">
        <w:rPr>
          <w:lang w:val="en-GB"/>
        </w:rPr>
        <w:t xml:space="preserve">3.3.1. </w:t>
      </w:r>
      <w:r w:rsidR="003C3009" w:rsidRPr="00024336">
        <w:rPr>
          <w:lang w:val="en-GB"/>
        </w:rPr>
        <w:t xml:space="preserve">Quality of </w:t>
      </w:r>
      <w:r w:rsidRPr="00024336">
        <w:rPr>
          <w:lang w:val="en-GB"/>
        </w:rPr>
        <w:t>Life</w:t>
      </w:r>
    </w:p>
    <w:p w:rsidR="003C3009" w:rsidRPr="00024336" w:rsidRDefault="003C3009" w:rsidP="00A61228">
      <w:pPr>
        <w:pStyle w:val="MDPI31text"/>
        <w:rPr>
          <w:lang w:val="en-GB"/>
        </w:rPr>
      </w:pPr>
      <w:r w:rsidRPr="00024336">
        <w:rPr>
          <w:lang w:val="en-GB"/>
        </w:rPr>
        <w:t>Gastrointestinal symptoms were reported only by 6 (3.7%) o</w:t>
      </w:r>
      <w:r w:rsidR="00A61228" w:rsidRPr="00024336">
        <w:rPr>
          <w:lang w:val="en-GB"/>
        </w:rPr>
        <w:t>f our patients, while 154 (96.3</w:t>
      </w:r>
      <w:r w:rsidRPr="00024336">
        <w:rPr>
          <w:lang w:val="en-GB"/>
        </w:rPr>
        <w:t>%) were asymptomatic when evaluated with GSRS. All the patients underwent PGWBI questionnaire, exploring Quality of Life. There was no correspondence between QoL and symptoms (GSRS), since 5 (83.3%) of the 6 patients who reported the presence of gastrointestinal symptoms also reported excellent QoL. According to PGWBI, excellent QoL was achieved by 125 of 160 (78.1%) children and was more frequently reported by girls (81.2%) than boys (72.9%) (X</w:t>
      </w:r>
      <w:r w:rsidRPr="00024336">
        <w:rPr>
          <w:vertAlign w:val="superscript"/>
          <w:lang w:val="en-GB"/>
        </w:rPr>
        <w:t>2</w:t>
      </w:r>
      <w:r w:rsidR="00E267EC" w:rsidRPr="00024336">
        <w:rPr>
          <w:lang w:val="en-GB"/>
        </w:rPr>
        <w:t>=</w:t>
      </w:r>
      <w:r w:rsidRPr="00024336">
        <w:rPr>
          <w:lang w:val="en-GB"/>
        </w:rPr>
        <w:t xml:space="preserve"> 10.7, </w:t>
      </w:r>
      <w:r w:rsidR="00363308" w:rsidRPr="00024336">
        <w:rPr>
          <w:i/>
          <w:lang w:val="en-GB"/>
        </w:rPr>
        <w:t>p</w:t>
      </w:r>
      <w:r w:rsidR="00E267EC" w:rsidRPr="00024336">
        <w:rPr>
          <w:i/>
          <w:lang w:val="en-GB"/>
        </w:rPr>
        <w:t xml:space="preserve"> =</w:t>
      </w:r>
      <w:r w:rsidRPr="00024336">
        <w:rPr>
          <w:lang w:val="en-GB"/>
        </w:rPr>
        <w:t xml:space="preserve"> 0.005). On the other hand, an improvement in QoL along school career was evident for boys and not for girls (X</w:t>
      </w:r>
      <w:r w:rsidRPr="00024336">
        <w:rPr>
          <w:vertAlign w:val="superscript"/>
          <w:lang w:val="en-GB"/>
        </w:rPr>
        <w:t>2</w:t>
      </w:r>
      <w:r w:rsidR="00E267EC" w:rsidRPr="00024336">
        <w:rPr>
          <w:lang w:val="en-GB"/>
        </w:rPr>
        <w:t xml:space="preserve"> =</w:t>
      </w:r>
      <w:r w:rsidRPr="00024336">
        <w:rPr>
          <w:lang w:val="en-GB"/>
        </w:rPr>
        <w:t xml:space="preserve"> 10.3, </w:t>
      </w:r>
      <w:r w:rsidR="00363308" w:rsidRPr="00024336">
        <w:rPr>
          <w:i/>
          <w:lang w:val="en-GB"/>
        </w:rPr>
        <w:t>p</w:t>
      </w:r>
      <w:r w:rsidR="00E267EC" w:rsidRPr="00024336">
        <w:rPr>
          <w:i/>
          <w:lang w:val="en-GB"/>
        </w:rPr>
        <w:t>=</w:t>
      </w:r>
      <w:r w:rsidRPr="00024336">
        <w:rPr>
          <w:lang w:val="en-GB"/>
        </w:rPr>
        <w:t xml:space="preserve"> 0.03). Our analysis showed that </w:t>
      </w:r>
      <w:r w:rsidR="0092347C" w:rsidRPr="00024336">
        <w:rPr>
          <w:lang w:val="en-GB"/>
        </w:rPr>
        <w:t xml:space="preserve">a </w:t>
      </w:r>
      <w:r w:rsidRPr="00024336">
        <w:rPr>
          <w:lang w:val="en-GB"/>
        </w:rPr>
        <w:t>higher grade of diet adherence assessed by the questionnaire significatively correlated with a higher score of QoL (X</w:t>
      </w:r>
      <w:r w:rsidRPr="00024336">
        <w:rPr>
          <w:vertAlign w:val="superscript"/>
          <w:lang w:val="en-GB"/>
        </w:rPr>
        <w:t>2</w:t>
      </w:r>
      <w:r w:rsidR="005B6703" w:rsidRPr="00024336">
        <w:rPr>
          <w:lang w:val="en-GB"/>
        </w:rPr>
        <w:t xml:space="preserve"> =</w:t>
      </w:r>
      <w:r w:rsidRPr="00024336">
        <w:rPr>
          <w:lang w:val="en-GB"/>
        </w:rPr>
        <w:t xml:space="preserve"> 12.3, </w:t>
      </w:r>
      <w:r w:rsidR="00363308" w:rsidRPr="00024336">
        <w:rPr>
          <w:i/>
          <w:lang w:val="en-GB"/>
        </w:rPr>
        <w:t>p</w:t>
      </w:r>
      <w:r w:rsidR="005B6703" w:rsidRPr="00024336">
        <w:rPr>
          <w:i/>
          <w:lang w:val="en-GB"/>
        </w:rPr>
        <w:t xml:space="preserve"> =</w:t>
      </w:r>
      <w:r w:rsidRPr="00024336">
        <w:rPr>
          <w:lang w:val="en-GB"/>
        </w:rPr>
        <w:t xml:space="preserve"> 0.015)</w:t>
      </w:r>
    </w:p>
    <w:p w:rsidR="003C3009" w:rsidRPr="00024336" w:rsidRDefault="00363308" w:rsidP="00363308">
      <w:pPr>
        <w:pStyle w:val="MDPI23heading3"/>
        <w:rPr>
          <w:lang w:val="en-GB"/>
        </w:rPr>
      </w:pPr>
      <w:r w:rsidRPr="00024336">
        <w:rPr>
          <w:lang w:val="en-GB"/>
        </w:rPr>
        <w:t xml:space="preserve">3.3.2. </w:t>
      </w:r>
      <w:r w:rsidR="003C3009" w:rsidRPr="00024336">
        <w:rPr>
          <w:lang w:val="en-GB"/>
        </w:rPr>
        <w:t>Growth</w:t>
      </w:r>
    </w:p>
    <w:p w:rsidR="003C3009" w:rsidRPr="00024336" w:rsidRDefault="003C3009" w:rsidP="00363308">
      <w:pPr>
        <w:pStyle w:val="MDPI31text"/>
        <w:rPr>
          <w:b/>
          <w:lang w:val="en-GB"/>
        </w:rPr>
      </w:pPr>
      <w:r w:rsidRPr="00024336">
        <w:rPr>
          <w:lang w:val="en-GB"/>
        </w:rPr>
        <w:t>W</w:t>
      </w:r>
      <w:r w:rsidR="00363308" w:rsidRPr="00024336">
        <w:rPr>
          <w:lang w:val="en-GB"/>
        </w:rPr>
        <w:t>eight was ≤</w:t>
      </w:r>
      <w:r w:rsidRPr="00024336">
        <w:rPr>
          <w:lang w:val="en-GB"/>
        </w:rPr>
        <w:t>10° pct (percentile) for sex and age</w:t>
      </w:r>
      <w:r w:rsidR="00363308" w:rsidRPr="00024336">
        <w:rPr>
          <w:lang w:val="en-GB"/>
        </w:rPr>
        <w:t xml:space="preserve"> in 35.8% of the children and ≥</w:t>
      </w:r>
      <w:r w:rsidRPr="00024336">
        <w:rPr>
          <w:lang w:val="en-GB"/>
        </w:rPr>
        <w:t>90° percentile in 5%. A general trend toward lower percentiles was observed also for height, th</w:t>
      </w:r>
      <w:r w:rsidR="00363308" w:rsidRPr="00024336">
        <w:rPr>
          <w:lang w:val="en-GB"/>
        </w:rPr>
        <w:t>at was ≤10° pct in 26.1% and ≥</w:t>
      </w:r>
      <w:r w:rsidR="00A61228" w:rsidRPr="00024336">
        <w:rPr>
          <w:lang w:val="en-GB"/>
        </w:rPr>
        <w:t>90° pct only in &lt;2</w:t>
      </w:r>
      <w:r w:rsidRPr="00024336">
        <w:rPr>
          <w:lang w:val="en-GB"/>
        </w:rPr>
        <w:t xml:space="preserve">% of the patients. BMI showed, instead, a nearly normal distribution </w:t>
      </w:r>
      <w:r w:rsidR="00363308" w:rsidRPr="00024336">
        <w:rPr>
          <w:lang w:val="en-GB"/>
        </w:rPr>
        <w:t>being ≤10° pct in 13.8</w:t>
      </w:r>
      <w:r w:rsidR="00A61228" w:rsidRPr="00024336">
        <w:rPr>
          <w:lang w:val="en-GB"/>
        </w:rPr>
        <w:t>%</w:t>
      </w:r>
      <w:r w:rsidR="00363308" w:rsidRPr="00024336">
        <w:rPr>
          <w:lang w:val="en-GB"/>
        </w:rPr>
        <w:t xml:space="preserve"> and ≥</w:t>
      </w:r>
      <w:r w:rsidRPr="00024336">
        <w:rPr>
          <w:lang w:val="en-GB"/>
        </w:rPr>
        <w:t>90° in &lt;10</w:t>
      </w:r>
      <w:r w:rsidR="00A61228" w:rsidRPr="00024336">
        <w:rPr>
          <w:lang w:val="en-GB"/>
        </w:rPr>
        <w:t>%</w:t>
      </w:r>
      <w:r w:rsidRPr="00024336">
        <w:rPr>
          <w:lang w:val="en-GB"/>
        </w:rPr>
        <w:t xml:space="preserve"> of our cohort. We found a correlation between better compliance at the questionnaire and healthier growth percentiles (</w:t>
      </w:r>
      <w:r w:rsidR="008E3F5C" w:rsidRPr="00024336">
        <w:rPr>
          <w:lang w:val="en-GB"/>
        </w:rPr>
        <w:t>Figure 1</w:t>
      </w:r>
      <w:r w:rsidRPr="00024336">
        <w:rPr>
          <w:lang w:val="en-GB"/>
        </w:rPr>
        <w:t xml:space="preserve">): in patients with excellent diet adherence, indeed, average percentiles of weight, height and BMI were 44.89, 41.91 and 55.28, respectively; in those with fair adherence they were 35.09, 38.91 and 50.80, respectively; in </w:t>
      </w:r>
      <w:r w:rsidRPr="00024336">
        <w:rPr>
          <w:lang w:val="en-GB"/>
        </w:rPr>
        <w:lastRenderedPageBreak/>
        <w:t xml:space="preserve">those with poor adherence they were even lower, dropping to 32.72, 37.72 and 45.00, respectively. The linear trend was significative for weight (ANOVA F for linearity = 3.99 </w:t>
      </w:r>
      <w:r w:rsidR="00363308" w:rsidRPr="00024336">
        <w:rPr>
          <w:i/>
          <w:lang w:val="en-GB"/>
        </w:rPr>
        <w:t>p</w:t>
      </w:r>
      <w:r w:rsidRPr="00024336">
        <w:rPr>
          <w:lang w:val="en-GB"/>
        </w:rPr>
        <w:t xml:space="preserve"> =0.047)</w:t>
      </w:r>
      <w:r w:rsidR="0092347C" w:rsidRPr="00024336">
        <w:rPr>
          <w:lang w:val="en-GB"/>
        </w:rPr>
        <w:t>;</w:t>
      </w:r>
      <w:r w:rsidRPr="00024336">
        <w:rPr>
          <w:lang w:val="en-GB"/>
        </w:rPr>
        <w:t xml:space="preserve"> however, </w:t>
      </w:r>
      <w:r w:rsidR="0092347C" w:rsidRPr="00024336">
        <w:rPr>
          <w:lang w:val="en-GB"/>
        </w:rPr>
        <w:t xml:space="preserve">it </w:t>
      </w:r>
      <w:r w:rsidRPr="00024336">
        <w:rPr>
          <w:lang w:val="en-GB"/>
        </w:rPr>
        <w:t>did not reach statistical significance.</w:t>
      </w:r>
    </w:p>
    <w:p w:rsidR="003C3009" w:rsidRPr="00024336" w:rsidRDefault="003C3009" w:rsidP="00A61228">
      <w:pPr>
        <w:pStyle w:val="MDPI52figure"/>
        <w:rPr>
          <w:lang w:val="en-GB"/>
        </w:rPr>
      </w:pPr>
      <w:r w:rsidRPr="00024336">
        <w:rPr>
          <w:noProof/>
          <w:snapToGrid/>
          <w:lang w:val="it-IT" w:eastAsia="it-IT" w:bidi="ar-SA"/>
        </w:rPr>
        <w:drawing>
          <wp:inline distT="0" distB="0" distL="0" distR="0">
            <wp:extent cx="4612249" cy="2946400"/>
            <wp:effectExtent l="0" t="0" r="0" b="6350"/>
            <wp:docPr id="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7919"/>
                    <a:stretch/>
                  </pic:blipFill>
                  <pic:spPr bwMode="auto">
                    <a:xfrm>
                      <a:off x="0" y="0"/>
                      <a:ext cx="4614273" cy="2947693"/>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3C3009" w:rsidRPr="00024336" w:rsidRDefault="00A61228" w:rsidP="00A61228">
      <w:pPr>
        <w:pStyle w:val="MDPI51figurecaption"/>
        <w:rPr>
          <w:u w:val="single"/>
          <w:lang w:val="en-GB"/>
        </w:rPr>
      </w:pPr>
      <w:r w:rsidRPr="00024336">
        <w:rPr>
          <w:b/>
          <w:lang w:val="en-GB"/>
        </w:rPr>
        <w:t xml:space="preserve">Figure 1. </w:t>
      </w:r>
      <w:r w:rsidR="003C3009" w:rsidRPr="00024336">
        <w:rPr>
          <w:lang w:val="en-GB"/>
        </w:rPr>
        <w:t>Average weight, height and BMI percentiles in patients with excellent, fair and low adherence to GFD.</w:t>
      </w:r>
    </w:p>
    <w:p w:rsidR="003C3009" w:rsidRPr="00024336" w:rsidRDefault="00363308" w:rsidP="00363308">
      <w:pPr>
        <w:pStyle w:val="MDPI21heading1"/>
      </w:pPr>
      <w:r w:rsidRPr="00024336">
        <w:t xml:space="preserve">4. </w:t>
      </w:r>
      <w:r w:rsidR="003C3009" w:rsidRPr="00024336">
        <w:t>Discussion</w:t>
      </w:r>
    </w:p>
    <w:p w:rsidR="003C3009" w:rsidRPr="00024336" w:rsidRDefault="003C3009" w:rsidP="00363308">
      <w:pPr>
        <w:pStyle w:val="MDPI31text"/>
        <w:rPr>
          <w:b/>
          <w:lang w:val="en-GB"/>
        </w:rPr>
      </w:pPr>
      <w:r w:rsidRPr="00024336">
        <w:rPr>
          <w:lang w:val="en-GB"/>
        </w:rPr>
        <w:t xml:space="preserve">Though gluten exposure may often be unintentional, due to cross-contamination, the reasons for diet failure among paediatric patients are numerous and tend to vary with the different stages of growth. In this domain, </w:t>
      </w:r>
      <w:r w:rsidR="0092347C" w:rsidRPr="00024336">
        <w:rPr>
          <w:lang w:val="en-GB"/>
        </w:rPr>
        <w:t xml:space="preserve">the </w:t>
      </w:r>
      <w:r w:rsidRPr="00024336">
        <w:rPr>
          <w:lang w:val="en-GB"/>
        </w:rPr>
        <w:t>evaluation of diet adherence becomes a difficult task for the clinician, who should both identify the influencing factors for the different classes of age (education, socio-cultural environment) and consider outcomes (growth, morbidity, QoL).</w:t>
      </w:r>
    </w:p>
    <w:p w:rsidR="003C3009" w:rsidRPr="00024336" w:rsidRDefault="003C3009" w:rsidP="00363308">
      <w:pPr>
        <w:pStyle w:val="MDPI31text"/>
        <w:rPr>
          <w:b/>
          <w:lang w:val="en-GB"/>
        </w:rPr>
      </w:pPr>
      <w:r w:rsidRPr="00024336">
        <w:rPr>
          <w:lang w:val="en-GB"/>
        </w:rPr>
        <w:t>Despite the importance and the complexity of this issue, the management of compliance with GFD is not codified. In clinical practice, serology and dietary interview are mostly used; nevertheless, both these methods show important limits. Anti-TG2 titers are, indeed, not sensitive enough to detect transgression of GFD</w:t>
      </w:r>
      <w:r w:rsidR="00024336" w:rsidRPr="00024336">
        <w:rPr>
          <w:lang w:val="en-GB"/>
        </w:rPr>
        <w:t>[16]</w:t>
      </w:r>
      <w:r w:rsidRPr="00024336">
        <w:rPr>
          <w:lang w:val="en-GB"/>
        </w:rPr>
        <w:t xml:space="preserve">; dietary interview is not standardized and requires a close relationship between the examiner and the patient, which becomes particularly challenging in adolescence. Recently, new techniques have been developed to detect gluten consumption by assessing the excretion of gluten immunogenic peptides (GIP) </w:t>
      </w:r>
      <w:r w:rsidR="00024336" w:rsidRPr="00024336">
        <w:rPr>
          <w:lang w:val="en-GB"/>
        </w:rPr>
        <w:t>[6]</w:t>
      </w:r>
      <w:r w:rsidRPr="00024336">
        <w:rPr>
          <w:lang w:val="en-GB"/>
        </w:rPr>
        <w:t xml:space="preserve"> in stool (until 2 weeks after gluten ingestion) and urine (till 72 </w:t>
      </w:r>
      <w:r w:rsidR="008E3F5C" w:rsidRPr="00024336">
        <w:rPr>
          <w:lang w:val="en-GB"/>
        </w:rPr>
        <w:t>h</w:t>
      </w:r>
      <w:r w:rsidR="00E267EC" w:rsidRPr="00024336">
        <w:rPr>
          <w:lang w:val="en-GB"/>
        </w:rPr>
        <w:t>ours</w:t>
      </w:r>
      <w:r w:rsidRPr="00024336">
        <w:rPr>
          <w:lang w:val="en-GB"/>
        </w:rPr>
        <w:t>). Though non-invasive and useful to identify unaware gluten ingestion in symptomatic or asymptomatic patients, the role of GIP tests in the management of CD patients is still not defined.</w:t>
      </w:r>
    </w:p>
    <w:p w:rsidR="003C3009" w:rsidRPr="00024336" w:rsidRDefault="003C3009" w:rsidP="00363308">
      <w:pPr>
        <w:pStyle w:val="MDPI31text"/>
        <w:rPr>
          <w:b/>
          <w:lang w:val="en-GB"/>
        </w:rPr>
      </w:pPr>
      <w:r w:rsidRPr="00024336">
        <w:rPr>
          <w:lang w:val="en-GB"/>
        </w:rPr>
        <w:t>In this study</w:t>
      </w:r>
      <w:r w:rsidR="0092347C" w:rsidRPr="00024336">
        <w:rPr>
          <w:lang w:val="en-GB"/>
        </w:rPr>
        <w:t>,</w:t>
      </w:r>
      <w:r w:rsidRPr="00024336">
        <w:rPr>
          <w:lang w:val="en-GB"/>
        </w:rPr>
        <w:t xml:space="preserve"> we aimed to evaluate the role of the questionnaire, rapid and simple to administer, in the assessment of adherence to GFD. We therefore adapted Leffler questionnaire</w:t>
      </w:r>
      <w:r w:rsidR="00024336" w:rsidRPr="00024336">
        <w:rPr>
          <w:lang w:val="en-GB"/>
        </w:rPr>
        <w:t>[10]</w:t>
      </w:r>
      <w:r w:rsidRPr="00024336">
        <w:rPr>
          <w:lang w:val="en-GB"/>
        </w:rPr>
        <w:t xml:space="preserve"> to paediatric patients with the following results: of the total 160 patients, 59.4% showed excellent adherence, while 28.8% and 11.9% showed fair and low adherence, respectively. The fact that 40.6% of our patients showed problems in adherence to GFD is consistent with data reported by other studies</w:t>
      </w:r>
      <w:r w:rsidR="00024336" w:rsidRPr="00024336">
        <w:rPr>
          <w:lang w:val="en-GB"/>
        </w:rPr>
        <w:t>[2,3,17]</w:t>
      </w:r>
      <w:r w:rsidRPr="00024336">
        <w:rPr>
          <w:lang w:val="en-GB"/>
        </w:rPr>
        <w:t>. Our questionnaire did not correlate with anti-TG2 titers (positive in 11.9%), which also resulted negative in patients who reported problems in diet adherence with the questionnaire, confirming the scarce sensitivity of serology. Moreover, the questionnaire results did not correlate with dietary interview.</w:t>
      </w:r>
    </w:p>
    <w:p w:rsidR="003C3009" w:rsidRPr="00024336" w:rsidRDefault="003C3009" w:rsidP="00363308">
      <w:pPr>
        <w:pStyle w:val="MDPI31text"/>
        <w:rPr>
          <w:b/>
          <w:lang w:val="en-GB"/>
        </w:rPr>
      </w:pPr>
      <w:r w:rsidRPr="00024336">
        <w:rPr>
          <w:lang w:val="en-GB"/>
        </w:rPr>
        <w:t>In conclusion, despite the rapidity and good sensitivity in identifying problems of adherence to GFD, the questionnaire may not be sufficient to evaluate compliance alone, in absence of other objective tools (prospective dietary enquiry, stool analysis</w:t>
      </w:r>
      <w:r w:rsidR="0092347C" w:rsidRPr="00024336">
        <w:rPr>
          <w:lang w:val="en-GB"/>
        </w:rPr>
        <w:t>,</w:t>
      </w:r>
      <w:r w:rsidRPr="00024336">
        <w:rPr>
          <w:lang w:val="en-GB"/>
        </w:rPr>
        <w:t xml:space="preserve">etc). However, for its characteristics, the </w:t>
      </w:r>
      <w:r w:rsidRPr="00024336">
        <w:rPr>
          <w:lang w:val="en-GB"/>
        </w:rPr>
        <w:lastRenderedPageBreak/>
        <w:t xml:space="preserve">questionnaire should be included in follow up protocols as </w:t>
      </w:r>
      <w:r w:rsidR="0092347C" w:rsidRPr="00024336">
        <w:rPr>
          <w:lang w:val="en-GB"/>
        </w:rPr>
        <w:t xml:space="preserve">a </w:t>
      </w:r>
      <w:r w:rsidRPr="00024336">
        <w:rPr>
          <w:lang w:val="en-GB"/>
        </w:rPr>
        <w:t>screening tool to identify patients who need an extensive evaluation by expert dietitian.</w:t>
      </w:r>
    </w:p>
    <w:p w:rsidR="003C3009" w:rsidRPr="00024336" w:rsidRDefault="003C3009" w:rsidP="00363308">
      <w:pPr>
        <w:pStyle w:val="MDPI31text"/>
        <w:rPr>
          <w:b/>
          <w:lang w:val="en-GB"/>
        </w:rPr>
      </w:pPr>
      <w:r w:rsidRPr="00024336">
        <w:rPr>
          <w:lang w:val="en-GB"/>
        </w:rPr>
        <w:t>A secondary aim of this study was the identification of factors influencing adherence to GFD. The knowledge of these factors is essential to recognize children who need personalized care during follow up in order to prevent diet failure. Since it has been described that adherence to GFD may be influenced by the parents’ knowledge and awareness of the disease</w:t>
      </w:r>
      <w:r w:rsidR="00024336" w:rsidRPr="00024336">
        <w:rPr>
          <w:lang w:val="en-GB"/>
        </w:rPr>
        <w:t>[5]</w:t>
      </w:r>
      <w:r w:rsidRPr="00024336">
        <w:rPr>
          <w:lang w:val="en-GB"/>
        </w:rPr>
        <w:t>, we analysed parents’ education and job among environmental factors. Additionally, financial status may influence diet adherence, though this is mostly strongly connected with grade of education and job. Interestingly, higher scores of diet adherence were achieved by children with mothers with low levels of education and highly educated fathers. We hypothesized this tendency to be connected with a lack of time spent at home by highly educated mothers who may have more demanding jobs</w:t>
      </w:r>
      <w:r w:rsidR="0092347C" w:rsidRPr="00024336">
        <w:rPr>
          <w:lang w:val="en-GB"/>
        </w:rPr>
        <w:t xml:space="preserve">; </w:t>
      </w:r>
      <w:r w:rsidRPr="00024336">
        <w:rPr>
          <w:lang w:val="en-GB"/>
        </w:rPr>
        <w:t xml:space="preserve">however, although we registered lower adherence when mothers worked as freelancers or employees than as housekeepers, in contrast with fathers, this difference was not statistically significant and further data </w:t>
      </w:r>
      <w:r w:rsidR="0092347C" w:rsidRPr="00024336">
        <w:rPr>
          <w:lang w:val="en-GB"/>
        </w:rPr>
        <w:t xml:space="preserve">are </w:t>
      </w:r>
      <w:r w:rsidRPr="00024336">
        <w:rPr>
          <w:lang w:val="en-GB"/>
        </w:rPr>
        <w:t>needed to explain this tendency. Surely the current social dynamics, with the increase of mothers’ employment, call for a reorganization of domestic roles, with fathers increasingly involved in the management of GFD. In this scenario, also the physician may play an important role, involving more and more fathers in the clinical path of their children.</w:t>
      </w:r>
    </w:p>
    <w:p w:rsidR="003C3009" w:rsidRPr="00024336" w:rsidRDefault="003C3009" w:rsidP="00363308">
      <w:pPr>
        <w:pStyle w:val="MDPI31text"/>
        <w:rPr>
          <w:b/>
          <w:lang w:val="en-GB"/>
        </w:rPr>
      </w:pPr>
      <w:r w:rsidRPr="00024336">
        <w:rPr>
          <w:lang w:val="en-GB"/>
        </w:rPr>
        <w:t>Analysing individual influencing factors, we observed how adherence to GFD tends to decrease along school career. It seems to be related to the age of patients</w:t>
      </w:r>
      <w:r w:rsidR="0092347C" w:rsidRPr="00024336">
        <w:rPr>
          <w:lang w:val="en-GB"/>
        </w:rPr>
        <w:t>.H</w:t>
      </w:r>
      <w:r w:rsidRPr="00024336">
        <w:rPr>
          <w:lang w:val="en-GB"/>
        </w:rPr>
        <w:t>igh school, which sees a decrement of diet adherence, corresponds with adolescence, a delicate moment characterized by lower parents’ decreased control and acquisition of autonomy in the diet management. This observation, which is in accordance with other studies</w:t>
      </w:r>
      <w:r w:rsidR="00024336" w:rsidRPr="00024336">
        <w:rPr>
          <w:lang w:val="en-GB"/>
        </w:rPr>
        <w:t>[2,5,16,18]</w:t>
      </w:r>
      <w:r w:rsidRPr="00024336">
        <w:rPr>
          <w:lang w:val="en-GB"/>
        </w:rPr>
        <w:t>, highlights the necessity of individualized treatment in adolescence, to improve autonomy and prepare the transition process.</w:t>
      </w:r>
    </w:p>
    <w:p w:rsidR="003C3009" w:rsidRPr="00024336" w:rsidRDefault="003C3009" w:rsidP="00363308">
      <w:pPr>
        <w:pStyle w:val="MDPI31text"/>
        <w:rPr>
          <w:b/>
          <w:lang w:val="en-GB"/>
        </w:rPr>
      </w:pPr>
      <w:r w:rsidRPr="00024336">
        <w:rPr>
          <w:lang w:val="en-GB"/>
        </w:rPr>
        <w:t>The observation of negative correlation between diet adherence and length of follow up may also depend on age, as patients with longer follow up are mostly adolescents. However, another recent study</w:t>
      </w:r>
      <w:r w:rsidR="00024336" w:rsidRPr="00024336">
        <w:rPr>
          <w:lang w:val="en-GB"/>
        </w:rPr>
        <w:t>[16]</w:t>
      </w:r>
      <w:r w:rsidRPr="00024336">
        <w:rPr>
          <w:lang w:val="en-GB"/>
        </w:rPr>
        <w:t xml:space="preserve"> reported a significant worsening of food adherence in the same individual after 24 months of follow up. Therefore, the explanation could be a consequence of a drop of vigilance and awareness of the disease after years of wellness, the absence of symptoms after gluten consumption </w:t>
      </w:r>
      <w:r w:rsidR="0092347C" w:rsidRPr="00024336">
        <w:rPr>
          <w:lang w:val="en-GB"/>
        </w:rPr>
        <w:t xml:space="preserve">being </w:t>
      </w:r>
      <w:r w:rsidRPr="00024336">
        <w:rPr>
          <w:lang w:val="en-GB"/>
        </w:rPr>
        <w:t>the most common cause of teenage diet failure</w:t>
      </w:r>
      <w:r w:rsidR="00024336" w:rsidRPr="00024336">
        <w:rPr>
          <w:lang w:val="en-GB"/>
        </w:rPr>
        <w:t>[2]</w:t>
      </w:r>
      <w:r w:rsidRPr="00024336">
        <w:rPr>
          <w:lang w:val="en-GB"/>
        </w:rPr>
        <w:t>. This calls for a constant renewal of information about diagnosis, GFD and risks related to diet-failure, above all in adolescence.</w:t>
      </w:r>
    </w:p>
    <w:p w:rsidR="003C3009" w:rsidRPr="00024336" w:rsidRDefault="003C3009" w:rsidP="00363308">
      <w:pPr>
        <w:pStyle w:val="MDPI31text"/>
        <w:rPr>
          <w:b/>
          <w:lang w:val="en-GB"/>
        </w:rPr>
      </w:pPr>
      <w:r w:rsidRPr="00024336">
        <w:rPr>
          <w:lang w:val="en-GB"/>
        </w:rPr>
        <w:t>In our cohort, patients diagnosed with a biopsy sparing approach, according to 2012 ESPGHAN guidelines, were 27 (16.8%). Excellent compliance with GFD was</w:t>
      </w:r>
      <w:r w:rsidR="006821E8" w:rsidRPr="00024336">
        <w:rPr>
          <w:lang w:val="en-GB"/>
        </w:rPr>
        <w:t>,</w:t>
      </w:r>
      <w:r w:rsidRPr="00024336">
        <w:rPr>
          <w:lang w:val="en-GB"/>
        </w:rPr>
        <w:t xml:space="preserve"> indeed</w:t>
      </w:r>
      <w:r w:rsidR="006821E8" w:rsidRPr="00024336">
        <w:rPr>
          <w:lang w:val="en-GB"/>
        </w:rPr>
        <w:t>,</w:t>
      </w:r>
      <w:r w:rsidRPr="00024336">
        <w:rPr>
          <w:lang w:val="en-GB"/>
        </w:rPr>
        <w:t xml:space="preserve"> achieved by 79/132 (59.8%) vs</w:t>
      </w:r>
      <w:r w:rsidR="006B121A" w:rsidRPr="00024336">
        <w:rPr>
          <w:lang w:val="en-GB"/>
        </w:rPr>
        <w:t>.</w:t>
      </w:r>
      <w:r w:rsidRPr="00024336">
        <w:rPr>
          <w:lang w:val="en-GB"/>
        </w:rPr>
        <w:t xml:space="preserve"> 15/27 (55.6%) patients who did and did not undergo biopsy respectively. Th</w:t>
      </w:r>
      <w:r w:rsidR="0092347C" w:rsidRPr="00024336">
        <w:rPr>
          <w:lang w:val="en-GB"/>
        </w:rPr>
        <w:t>ese</w:t>
      </w:r>
      <w:r w:rsidRPr="00024336">
        <w:rPr>
          <w:lang w:val="en-GB"/>
        </w:rPr>
        <w:t xml:space="preserve"> data suggest a negative correlation between compliance and biopsy sparing approaches, likely due to the lack of awareness of the disease in children who undergo a simplified diagnostic approach. However, further data on the basis of new 2019 ESPGHAN guidelines</w:t>
      </w:r>
      <w:r w:rsidR="00024336" w:rsidRPr="00024336">
        <w:rPr>
          <w:lang w:val="en-GB"/>
        </w:rPr>
        <w:t>[19]</w:t>
      </w:r>
      <w:r w:rsidR="0092347C" w:rsidRPr="00024336">
        <w:rPr>
          <w:lang w:val="en-GB"/>
        </w:rPr>
        <w:t xml:space="preserve">are </w:t>
      </w:r>
      <w:r w:rsidRPr="00024336">
        <w:rPr>
          <w:lang w:val="en-GB"/>
        </w:rPr>
        <w:t>needed to confirm this hypothesis.</w:t>
      </w:r>
    </w:p>
    <w:p w:rsidR="003C3009" w:rsidRPr="00024336" w:rsidRDefault="003C3009" w:rsidP="00363308">
      <w:pPr>
        <w:pStyle w:val="MDPI31text"/>
        <w:rPr>
          <w:lang w:val="en-GB"/>
        </w:rPr>
      </w:pPr>
      <w:r w:rsidRPr="00024336">
        <w:rPr>
          <w:lang w:val="en-GB"/>
        </w:rPr>
        <w:t>Another secondary aim of this study was to investigate the different outcomes related to diet adherence. Quality of life was assessed trough a validated questionnaire (PGWBI)</w:t>
      </w:r>
      <w:r w:rsidR="00024336" w:rsidRPr="00024336">
        <w:rPr>
          <w:lang w:val="en-GB"/>
        </w:rPr>
        <w:t>[14]</w:t>
      </w:r>
      <w:r w:rsidRPr="00024336">
        <w:rPr>
          <w:lang w:val="en-GB"/>
        </w:rPr>
        <w:t>. No correspondence was found between PGWBI results and the presence of gastrointestinal symptoms (assessed throughout GRSR questionnaire), confirming the complexity of the concept of wellness, which is not only dependent on gastrointestinal symptoms. A strong correlation was observed between better compliance and higher Quality of Life at PGWBI</w:t>
      </w:r>
      <w:r w:rsidR="0092347C" w:rsidRPr="00024336">
        <w:rPr>
          <w:lang w:val="en-GB"/>
        </w:rPr>
        <w:t>;</w:t>
      </w:r>
      <w:r w:rsidRPr="00024336">
        <w:rPr>
          <w:lang w:val="en-GB"/>
        </w:rPr>
        <w:t xml:space="preserve"> this suggests how dietary adherence strongly contributes to the general wellness and QoL, as reported in other studies</w:t>
      </w:r>
      <w:r w:rsidR="00024336" w:rsidRPr="00024336">
        <w:rPr>
          <w:lang w:val="en-GB"/>
        </w:rPr>
        <w:t>[20,21]</w:t>
      </w:r>
      <w:r w:rsidRPr="00024336">
        <w:rPr>
          <w:lang w:val="en-GB"/>
        </w:rPr>
        <w:t>. This relation is confirmed by the observation that boys, who show a steadier compliance along the school career, also display improvement in QoL if compared with girls, who show a worsening of compliance with lack of improvement in QoL along the school career.</w:t>
      </w:r>
    </w:p>
    <w:p w:rsidR="003C3009" w:rsidRPr="00024336" w:rsidRDefault="003C3009" w:rsidP="00363308">
      <w:pPr>
        <w:pStyle w:val="MDPI31text"/>
        <w:rPr>
          <w:lang w:val="en-GB"/>
        </w:rPr>
      </w:pPr>
      <w:r w:rsidRPr="00024336">
        <w:rPr>
          <w:lang w:val="en-GB"/>
        </w:rPr>
        <w:t>Anthropometric analysis of our cohort revealed a distribution of weight and height toward lower percentiles if compared with other studies</w:t>
      </w:r>
      <w:r w:rsidR="00024336" w:rsidRPr="00024336">
        <w:rPr>
          <w:lang w:val="en-GB"/>
        </w:rPr>
        <w:t>[22]</w:t>
      </w:r>
      <w:r w:rsidRPr="00024336">
        <w:rPr>
          <w:lang w:val="en-GB"/>
        </w:rPr>
        <w:t xml:space="preserve"> and with growth standards. Since children with different length of follow up were included in this study, for some</w:t>
      </w:r>
      <w:r w:rsidR="0092347C" w:rsidRPr="00024336">
        <w:rPr>
          <w:lang w:val="en-GB"/>
        </w:rPr>
        <w:t>, the</w:t>
      </w:r>
      <w:r w:rsidRPr="00024336">
        <w:rPr>
          <w:lang w:val="en-GB"/>
        </w:rPr>
        <w:t xml:space="preserve"> catch up growth process may not have been completed yet</w:t>
      </w:r>
      <w:r w:rsidR="00024336" w:rsidRPr="00024336">
        <w:rPr>
          <w:lang w:val="en-GB"/>
        </w:rPr>
        <w:t>[23,24]</w:t>
      </w:r>
      <w:r w:rsidRPr="00024336">
        <w:rPr>
          <w:lang w:val="en-GB"/>
        </w:rPr>
        <w:t xml:space="preserve">. Observing BMI distribution, however, it was much more similar </w:t>
      </w:r>
      <w:r w:rsidR="00363308" w:rsidRPr="00024336">
        <w:rPr>
          <w:lang w:val="en-GB"/>
        </w:rPr>
        <w:t>to normal distribution, being ≤</w:t>
      </w:r>
      <w:r w:rsidRPr="00024336">
        <w:rPr>
          <w:lang w:val="en-GB"/>
        </w:rPr>
        <w:t xml:space="preserve">10° percentile </w:t>
      </w:r>
      <w:r w:rsidR="00363308" w:rsidRPr="00024336">
        <w:rPr>
          <w:lang w:val="en-GB"/>
        </w:rPr>
        <w:t>for sex and age in 13.8</w:t>
      </w:r>
      <w:r w:rsidR="00A61228" w:rsidRPr="00024336">
        <w:rPr>
          <w:lang w:val="en-GB"/>
        </w:rPr>
        <w:t>%</w:t>
      </w:r>
      <w:r w:rsidR="00363308" w:rsidRPr="00024336">
        <w:rPr>
          <w:lang w:val="en-GB"/>
        </w:rPr>
        <w:t xml:space="preserve"> and ≥</w:t>
      </w:r>
      <w:r w:rsidRPr="00024336">
        <w:rPr>
          <w:lang w:val="en-GB"/>
        </w:rPr>
        <w:t>90° in &lt;10</w:t>
      </w:r>
      <w:r w:rsidR="00A61228" w:rsidRPr="00024336">
        <w:rPr>
          <w:lang w:val="en-GB"/>
        </w:rPr>
        <w:t>%</w:t>
      </w:r>
      <w:r w:rsidRPr="00024336">
        <w:rPr>
          <w:lang w:val="en-GB"/>
        </w:rPr>
        <w:t xml:space="preserve"> of the </w:t>
      </w:r>
      <w:r w:rsidRPr="00024336">
        <w:rPr>
          <w:lang w:val="en-GB"/>
        </w:rPr>
        <w:lastRenderedPageBreak/>
        <w:t xml:space="preserve">patients. Moreover, we did not observe high percentages of overweight and obese children, </w:t>
      </w:r>
      <w:r w:rsidR="0092347C" w:rsidRPr="00024336">
        <w:rPr>
          <w:lang w:val="en-GB"/>
        </w:rPr>
        <w:t xml:space="preserve">as </w:t>
      </w:r>
      <w:r w:rsidRPr="00024336">
        <w:rPr>
          <w:lang w:val="en-GB"/>
        </w:rPr>
        <w:t>reported in other studies</w:t>
      </w:r>
      <w:r w:rsidR="00024336" w:rsidRPr="00024336">
        <w:rPr>
          <w:lang w:val="en-GB"/>
        </w:rPr>
        <w:t>[25,26]</w:t>
      </w:r>
      <w:r w:rsidRPr="00024336">
        <w:rPr>
          <w:lang w:val="en-GB"/>
        </w:rPr>
        <w:t>. Though in GFD it has been described higher intake of fat and a lower intake of fibres</w:t>
      </w:r>
      <w:r w:rsidR="00024336" w:rsidRPr="00024336">
        <w:rPr>
          <w:lang w:val="en-GB"/>
        </w:rPr>
        <w:t>[26,27]</w:t>
      </w:r>
      <w:r w:rsidRPr="00024336">
        <w:rPr>
          <w:lang w:val="en-GB"/>
        </w:rPr>
        <w:t>, predisposing to obesity</w:t>
      </w:r>
      <w:r w:rsidR="00024336" w:rsidRPr="00024336">
        <w:rPr>
          <w:lang w:val="en-GB"/>
        </w:rPr>
        <w:t>[25,28]</w:t>
      </w:r>
      <w:r w:rsidRPr="00024336">
        <w:rPr>
          <w:lang w:val="en-GB"/>
        </w:rPr>
        <w:t xml:space="preserve">, the influx of </w:t>
      </w:r>
      <w:r w:rsidR="0092347C" w:rsidRPr="00024336">
        <w:rPr>
          <w:lang w:val="en-GB"/>
        </w:rPr>
        <w:t xml:space="preserve">the </w:t>
      </w:r>
      <w:r w:rsidRPr="00024336">
        <w:rPr>
          <w:lang w:val="en-GB"/>
        </w:rPr>
        <w:t>Mediterranean diet in our cohort from southern Italy could represent a protecting factor against excessive use of commercial gluten free products and weight gain. Finally, a direct correlation was found between growth and diet-adherence (</w:t>
      </w:r>
      <w:r w:rsidR="008E3F5C" w:rsidRPr="00024336">
        <w:rPr>
          <w:lang w:val="en-GB"/>
        </w:rPr>
        <w:t>Figure 1</w:t>
      </w:r>
      <w:r w:rsidRPr="00024336">
        <w:rPr>
          <w:lang w:val="en-GB"/>
        </w:rPr>
        <w:t>), as reported in other studies</w:t>
      </w:r>
      <w:r w:rsidR="00024336" w:rsidRPr="00024336">
        <w:rPr>
          <w:lang w:val="en-GB"/>
        </w:rPr>
        <w:t>[29,30]</w:t>
      </w:r>
      <w:r w:rsidRPr="00024336">
        <w:rPr>
          <w:lang w:val="en-GB"/>
        </w:rPr>
        <w:t>, outlining adherence to GFD as the most important resource to guarantee CD patients normal development and wellness.</w:t>
      </w:r>
    </w:p>
    <w:p w:rsidR="009C1290" w:rsidRPr="00024336" w:rsidRDefault="009C1290" w:rsidP="009C1290">
      <w:pPr>
        <w:pStyle w:val="MDPI21heading1"/>
        <w:rPr>
          <w:lang w:val="en-GB"/>
        </w:rPr>
      </w:pPr>
      <w:commentRangeStart w:id="0"/>
      <w:r w:rsidRPr="00024336">
        <w:rPr>
          <w:lang w:val="en-GB"/>
        </w:rPr>
        <w:t>5. Conclusion</w:t>
      </w:r>
      <w:commentRangeEnd w:id="0"/>
      <w:r w:rsidR="00314A1D">
        <w:rPr>
          <w:rStyle w:val="Rimandocommento"/>
          <w:rFonts w:ascii="Times New Roman" w:hAnsi="Times New Roman"/>
          <w:b w:val="0"/>
          <w:snapToGrid/>
          <w:lang w:bidi="ar-SA"/>
        </w:rPr>
        <w:commentReference w:id="0"/>
      </w:r>
    </w:p>
    <w:p w:rsidR="003C3009" w:rsidRPr="00024336" w:rsidRDefault="003C3009" w:rsidP="00363308">
      <w:pPr>
        <w:pStyle w:val="MDPI31text"/>
        <w:rPr>
          <w:lang w:val="en-GB"/>
        </w:rPr>
      </w:pPr>
      <w:r w:rsidRPr="00024336">
        <w:rPr>
          <w:lang w:val="en-GB"/>
        </w:rPr>
        <w:t>In conclusion, according to this study, the questionnaire shows a good sensitivity in detecting problems in diet adherence</w:t>
      </w:r>
      <w:r w:rsidR="0092347C" w:rsidRPr="00024336">
        <w:rPr>
          <w:lang w:val="en-GB"/>
        </w:rPr>
        <w:t>,</w:t>
      </w:r>
      <w:r w:rsidRPr="00024336">
        <w:rPr>
          <w:lang w:val="en-GB"/>
        </w:rPr>
        <w:t xml:space="preserve"> and could be a useful screening tool in the assessment of compliance with GFD. Another point of strength of this study is that it recognises influencing factors (mothers’ education, children grade of education, length of follow up, diagnostic approach) which may identify children at risk of poor adherence to GFD, who require a personalized approach during the follow up. This calls for the implementation of specific and personalized strategies aimed to improve compliance, in the context of standardized protocols for the follow-up of coeliac patients.</w:t>
      </w:r>
    </w:p>
    <w:p w:rsidR="003C3009" w:rsidRPr="00024336" w:rsidRDefault="003C3009" w:rsidP="00363308">
      <w:pPr>
        <w:pStyle w:val="MDPI31text"/>
        <w:rPr>
          <w:lang w:val="en-GB"/>
        </w:rPr>
      </w:pPr>
      <w:r w:rsidRPr="00024336">
        <w:rPr>
          <w:lang w:val="en-GB"/>
        </w:rPr>
        <w:t xml:space="preserve">The role of the expert dietitian should be implemented, as dietary interviews still represent the most accurate method </w:t>
      </w:r>
      <w:r w:rsidR="0092347C" w:rsidRPr="00024336">
        <w:rPr>
          <w:lang w:val="en-GB"/>
        </w:rPr>
        <w:t xml:space="preserve">of </w:t>
      </w:r>
      <w:r w:rsidRPr="00024336">
        <w:rPr>
          <w:lang w:val="en-GB"/>
        </w:rPr>
        <w:t>assess</w:t>
      </w:r>
      <w:r w:rsidR="0092347C" w:rsidRPr="00024336">
        <w:rPr>
          <w:lang w:val="en-GB"/>
        </w:rPr>
        <w:t>ing</w:t>
      </w:r>
      <w:r w:rsidRPr="00024336">
        <w:rPr>
          <w:lang w:val="en-GB"/>
        </w:rPr>
        <w:t xml:space="preserve"> diet adherence. A weakness of our study was that only 37 of 160 patients underwent a dietary interview</w:t>
      </w:r>
      <w:r w:rsidR="0092347C" w:rsidRPr="00024336">
        <w:rPr>
          <w:lang w:val="en-GB"/>
        </w:rPr>
        <w:t>,</w:t>
      </w:r>
      <w:r w:rsidRPr="00024336">
        <w:rPr>
          <w:lang w:val="en-GB"/>
        </w:rPr>
        <w:t xml:space="preserve"> and this calls for an extension of the sample size t</w:t>
      </w:r>
      <w:bookmarkStart w:id="1" w:name="_GoBack"/>
      <w:bookmarkEnd w:id="1"/>
      <w:r w:rsidRPr="00024336">
        <w:rPr>
          <w:lang w:val="en-GB"/>
        </w:rPr>
        <w:t>o raise the accuracy of this analysis.</w:t>
      </w:r>
    </w:p>
    <w:p w:rsidR="003C3009" w:rsidRPr="00024336" w:rsidRDefault="003C3009" w:rsidP="00363308">
      <w:pPr>
        <w:pStyle w:val="MDPI31text"/>
        <w:rPr>
          <w:b/>
          <w:lang w:val="en-GB"/>
        </w:rPr>
      </w:pPr>
      <w:r w:rsidRPr="00024336">
        <w:rPr>
          <w:lang w:val="en-GB"/>
        </w:rPr>
        <w:t xml:space="preserve">Another limitation was that the study population included individuals from </w:t>
      </w:r>
      <w:r w:rsidR="00F06A27" w:rsidRPr="00024336">
        <w:rPr>
          <w:lang w:val="en-GB"/>
        </w:rPr>
        <w:t>2–20</w:t>
      </w:r>
      <w:r w:rsidRPr="00024336">
        <w:rPr>
          <w:lang w:val="en-GB"/>
        </w:rPr>
        <w:t xml:space="preserve"> years of age, which is a wide range. However, the analysis of this range shows how diet adherence changes throughout the length of follow up, the school career and growth.</w:t>
      </w:r>
    </w:p>
    <w:p w:rsidR="003C3009" w:rsidRPr="00024336" w:rsidRDefault="003C3009" w:rsidP="00363308">
      <w:pPr>
        <w:pStyle w:val="MDPI62Acknowledgments"/>
        <w:spacing w:before="240"/>
        <w:rPr>
          <w:lang w:val="it-IT"/>
        </w:rPr>
      </w:pPr>
      <w:r w:rsidRPr="00024336">
        <w:rPr>
          <w:b/>
          <w:lang w:val="it-IT"/>
        </w:rPr>
        <w:t xml:space="preserve">Author Contributions: </w:t>
      </w:r>
      <w:r w:rsidRPr="00024336">
        <w:rPr>
          <w:lang w:val="it-IT"/>
        </w:rPr>
        <w:t xml:space="preserve">Conceptualization, </w:t>
      </w:r>
      <w:r w:rsidR="00363308" w:rsidRPr="00024336">
        <w:rPr>
          <w:lang w:val="it-IT"/>
        </w:rPr>
        <w:t>D.P.</w:t>
      </w:r>
      <w:r w:rsidRPr="00024336">
        <w:rPr>
          <w:lang w:val="it-IT"/>
        </w:rPr>
        <w:t xml:space="preserve">, </w:t>
      </w:r>
      <w:r w:rsidR="00363308" w:rsidRPr="00024336">
        <w:rPr>
          <w:lang w:val="it-IT"/>
        </w:rPr>
        <w:t>R.T.</w:t>
      </w:r>
      <w:r w:rsidRPr="00024336">
        <w:rPr>
          <w:lang w:val="it-IT"/>
        </w:rPr>
        <w:t xml:space="preserve">, </w:t>
      </w:r>
      <w:r w:rsidR="00363308" w:rsidRPr="00024336">
        <w:rPr>
          <w:lang w:val="it-IT"/>
        </w:rPr>
        <w:t>L.G.</w:t>
      </w:r>
      <w:r w:rsidRPr="00024336">
        <w:rPr>
          <w:lang w:val="it-IT"/>
        </w:rPr>
        <w:t xml:space="preserve"> and </w:t>
      </w:r>
      <w:r w:rsidR="00363308" w:rsidRPr="00024336">
        <w:rPr>
          <w:lang w:val="it-IT"/>
        </w:rPr>
        <w:t>R.A.</w:t>
      </w:r>
      <w:r w:rsidRPr="00024336">
        <w:rPr>
          <w:lang w:val="it-IT"/>
        </w:rPr>
        <w:t xml:space="preserve">; Data curation, </w:t>
      </w:r>
      <w:r w:rsidR="00363308" w:rsidRPr="00024336">
        <w:rPr>
          <w:lang w:val="it-IT"/>
        </w:rPr>
        <w:t>D.P.</w:t>
      </w:r>
      <w:r w:rsidRPr="00024336">
        <w:rPr>
          <w:lang w:val="it-IT"/>
        </w:rPr>
        <w:t xml:space="preserve">, </w:t>
      </w:r>
      <w:r w:rsidR="00363308" w:rsidRPr="00024336">
        <w:rPr>
          <w:lang w:val="it-IT"/>
        </w:rPr>
        <w:t>L.G.</w:t>
      </w:r>
      <w:r w:rsidRPr="00024336">
        <w:rPr>
          <w:lang w:val="it-IT"/>
        </w:rPr>
        <w:t xml:space="preserve">, </w:t>
      </w:r>
      <w:r w:rsidR="00363308" w:rsidRPr="00024336">
        <w:rPr>
          <w:lang w:val="it-IT"/>
        </w:rPr>
        <w:t>M.M.</w:t>
      </w:r>
      <w:r w:rsidRPr="00024336">
        <w:rPr>
          <w:lang w:val="it-IT"/>
        </w:rPr>
        <w:t xml:space="preserve"> and </w:t>
      </w:r>
      <w:r w:rsidR="00363308" w:rsidRPr="00024336">
        <w:rPr>
          <w:lang w:val="it-IT"/>
        </w:rPr>
        <w:t>R.A.</w:t>
      </w:r>
      <w:r w:rsidRPr="00024336">
        <w:rPr>
          <w:lang w:val="it-IT"/>
        </w:rPr>
        <w:t xml:space="preserve">; Formal analysis, </w:t>
      </w:r>
      <w:r w:rsidR="00363308" w:rsidRPr="00024336">
        <w:rPr>
          <w:lang w:val="it-IT"/>
        </w:rPr>
        <w:t>D.P.</w:t>
      </w:r>
      <w:r w:rsidRPr="00024336">
        <w:rPr>
          <w:lang w:val="it-IT"/>
        </w:rPr>
        <w:t xml:space="preserve">, </w:t>
      </w:r>
      <w:r w:rsidR="00363308" w:rsidRPr="00024336">
        <w:rPr>
          <w:lang w:val="it-IT"/>
        </w:rPr>
        <w:t>L.G.</w:t>
      </w:r>
      <w:r w:rsidRPr="00024336">
        <w:rPr>
          <w:lang w:val="it-IT"/>
        </w:rPr>
        <w:t xml:space="preserve"> and </w:t>
      </w:r>
      <w:r w:rsidR="00363308" w:rsidRPr="00024336">
        <w:rPr>
          <w:lang w:val="it-IT"/>
        </w:rPr>
        <w:t>R.A.</w:t>
      </w:r>
      <w:r w:rsidRPr="00024336">
        <w:rPr>
          <w:lang w:val="it-IT"/>
        </w:rPr>
        <w:t xml:space="preserve">; Investigation, </w:t>
      </w:r>
      <w:r w:rsidR="00363308" w:rsidRPr="00024336">
        <w:rPr>
          <w:lang w:val="it-IT"/>
        </w:rPr>
        <w:t>D.P.</w:t>
      </w:r>
      <w:r w:rsidRPr="00024336">
        <w:rPr>
          <w:lang w:val="it-IT"/>
        </w:rPr>
        <w:t xml:space="preserve"> and </w:t>
      </w:r>
      <w:r w:rsidR="00363308" w:rsidRPr="00024336">
        <w:rPr>
          <w:lang w:val="it-IT"/>
        </w:rPr>
        <w:t>R.A.</w:t>
      </w:r>
      <w:r w:rsidRPr="00024336">
        <w:rPr>
          <w:lang w:val="it-IT"/>
        </w:rPr>
        <w:t xml:space="preserve">; Methodology, </w:t>
      </w:r>
      <w:r w:rsidR="00363308" w:rsidRPr="00024336">
        <w:rPr>
          <w:lang w:val="it-IT"/>
        </w:rPr>
        <w:t>D.P.</w:t>
      </w:r>
      <w:r w:rsidRPr="00024336">
        <w:rPr>
          <w:lang w:val="it-IT"/>
        </w:rPr>
        <w:t xml:space="preserve"> and </w:t>
      </w:r>
      <w:r w:rsidR="00363308" w:rsidRPr="00024336">
        <w:rPr>
          <w:lang w:val="it-IT"/>
        </w:rPr>
        <w:t>R.A.</w:t>
      </w:r>
      <w:r w:rsidRPr="00024336">
        <w:rPr>
          <w:lang w:val="it-IT"/>
        </w:rPr>
        <w:t xml:space="preserve">; Project administration, </w:t>
      </w:r>
      <w:r w:rsidR="00363308" w:rsidRPr="00024336">
        <w:rPr>
          <w:lang w:val="it-IT"/>
        </w:rPr>
        <w:t>D.P.</w:t>
      </w:r>
      <w:r w:rsidRPr="00024336">
        <w:rPr>
          <w:lang w:val="it-IT"/>
        </w:rPr>
        <w:t xml:space="preserve">, </w:t>
      </w:r>
      <w:r w:rsidR="00363308" w:rsidRPr="00024336">
        <w:rPr>
          <w:lang w:val="it-IT"/>
        </w:rPr>
        <w:t>R.T.</w:t>
      </w:r>
      <w:r w:rsidRPr="00024336">
        <w:rPr>
          <w:lang w:val="it-IT"/>
        </w:rPr>
        <w:t xml:space="preserve"> and </w:t>
      </w:r>
      <w:r w:rsidR="00363308" w:rsidRPr="00024336">
        <w:rPr>
          <w:lang w:val="it-IT"/>
        </w:rPr>
        <w:t>R.A.</w:t>
      </w:r>
      <w:r w:rsidRPr="00024336">
        <w:rPr>
          <w:lang w:val="it-IT"/>
        </w:rPr>
        <w:t xml:space="preserve">; Resources, </w:t>
      </w:r>
      <w:r w:rsidR="00363308" w:rsidRPr="00024336">
        <w:rPr>
          <w:lang w:val="it-IT"/>
        </w:rPr>
        <w:t>D.P.</w:t>
      </w:r>
      <w:r w:rsidRPr="00024336">
        <w:rPr>
          <w:lang w:val="it-IT"/>
        </w:rPr>
        <w:t xml:space="preserve">, </w:t>
      </w:r>
      <w:r w:rsidR="00363308" w:rsidRPr="00024336">
        <w:rPr>
          <w:lang w:val="it-IT"/>
        </w:rPr>
        <w:t>R.T.</w:t>
      </w:r>
      <w:r w:rsidRPr="00024336">
        <w:rPr>
          <w:lang w:val="it-IT"/>
        </w:rPr>
        <w:t xml:space="preserve"> and </w:t>
      </w:r>
      <w:r w:rsidR="00363308" w:rsidRPr="00024336">
        <w:rPr>
          <w:lang w:val="it-IT"/>
        </w:rPr>
        <w:t>R.A.</w:t>
      </w:r>
      <w:r w:rsidRPr="00024336">
        <w:rPr>
          <w:lang w:val="it-IT"/>
        </w:rPr>
        <w:t xml:space="preserve">; Software, </w:t>
      </w:r>
      <w:r w:rsidR="00363308" w:rsidRPr="00024336">
        <w:rPr>
          <w:lang w:val="it-IT"/>
        </w:rPr>
        <w:t>L.G.</w:t>
      </w:r>
      <w:r w:rsidRPr="00024336">
        <w:rPr>
          <w:lang w:val="it-IT"/>
        </w:rPr>
        <w:t xml:space="preserve"> and </w:t>
      </w:r>
      <w:r w:rsidR="00363308" w:rsidRPr="00024336">
        <w:rPr>
          <w:lang w:val="it-IT"/>
        </w:rPr>
        <w:t>R.A.</w:t>
      </w:r>
      <w:r w:rsidRPr="00024336">
        <w:rPr>
          <w:lang w:val="it-IT"/>
        </w:rPr>
        <w:t xml:space="preserve">; Supervision, </w:t>
      </w:r>
      <w:r w:rsidR="00363308" w:rsidRPr="00024336">
        <w:rPr>
          <w:lang w:val="it-IT"/>
        </w:rPr>
        <w:t>R.T.</w:t>
      </w:r>
      <w:r w:rsidRPr="00024336">
        <w:rPr>
          <w:lang w:val="it-IT"/>
        </w:rPr>
        <w:t xml:space="preserve">, </w:t>
      </w:r>
      <w:r w:rsidR="00363308" w:rsidRPr="00024336">
        <w:rPr>
          <w:lang w:val="it-IT"/>
        </w:rPr>
        <w:t>L.G.</w:t>
      </w:r>
      <w:r w:rsidRPr="00024336">
        <w:rPr>
          <w:lang w:val="it-IT"/>
        </w:rPr>
        <w:t xml:space="preserve"> and </w:t>
      </w:r>
      <w:r w:rsidR="00363308" w:rsidRPr="00024336">
        <w:rPr>
          <w:lang w:val="it-IT"/>
        </w:rPr>
        <w:t>R.A.</w:t>
      </w:r>
      <w:r w:rsidRPr="00024336">
        <w:rPr>
          <w:lang w:val="it-IT"/>
        </w:rPr>
        <w:t xml:space="preserve">; Validation, </w:t>
      </w:r>
      <w:r w:rsidR="00363308" w:rsidRPr="00024336">
        <w:rPr>
          <w:lang w:val="it-IT"/>
        </w:rPr>
        <w:t>R.T.</w:t>
      </w:r>
      <w:r w:rsidRPr="00024336">
        <w:rPr>
          <w:lang w:val="it-IT"/>
        </w:rPr>
        <w:t xml:space="preserve">, </w:t>
      </w:r>
      <w:r w:rsidR="00363308" w:rsidRPr="00024336">
        <w:rPr>
          <w:lang w:val="it-IT"/>
        </w:rPr>
        <w:t>L.G.</w:t>
      </w:r>
      <w:r w:rsidRPr="00024336">
        <w:rPr>
          <w:lang w:val="it-IT"/>
        </w:rPr>
        <w:t xml:space="preserve"> and </w:t>
      </w:r>
      <w:r w:rsidR="00363308" w:rsidRPr="00024336">
        <w:rPr>
          <w:lang w:val="it-IT"/>
        </w:rPr>
        <w:t>R.A.</w:t>
      </w:r>
      <w:r w:rsidRPr="00024336">
        <w:rPr>
          <w:lang w:val="it-IT"/>
        </w:rPr>
        <w:t xml:space="preserve">; Visualization, </w:t>
      </w:r>
      <w:r w:rsidR="00363308" w:rsidRPr="00024336">
        <w:rPr>
          <w:lang w:val="it-IT"/>
        </w:rPr>
        <w:t>D.P.</w:t>
      </w:r>
      <w:r w:rsidRPr="00024336">
        <w:rPr>
          <w:lang w:val="it-IT"/>
        </w:rPr>
        <w:t xml:space="preserve">, </w:t>
      </w:r>
      <w:r w:rsidR="00363308" w:rsidRPr="00024336">
        <w:rPr>
          <w:lang w:val="it-IT"/>
        </w:rPr>
        <w:t>R.T.</w:t>
      </w:r>
      <w:r w:rsidRPr="00024336">
        <w:rPr>
          <w:lang w:val="it-IT"/>
        </w:rPr>
        <w:t xml:space="preserve">, </w:t>
      </w:r>
      <w:r w:rsidR="00363308" w:rsidRPr="00024336">
        <w:rPr>
          <w:lang w:val="it-IT"/>
        </w:rPr>
        <w:t>L.G.</w:t>
      </w:r>
      <w:r w:rsidRPr="00024336">
        <w:rPr>
          <w:lang w:val="it-IT"/>
        </w:rPr>
        <w:t xml:space="preserve"> and </w:t>
      </w:r>
      <w:r w:rsidR="00363308" w:rsidRPr="00024336">
        <w:rPr>
          <w:lang w:val="it-IT"/>
        </w:rPr>
        <w:t>R.A.</w:t>
      </w:r>
      <w:r w:rsidRPr="00024336">
        <w:rPr>
          <w:lang w:val="it-IT"/>
        </w:rPr>
        <w:t>; Writing</w:t>
      </w:r>
      <w:r w:rsidR="00363308" w:rsidRPr="00024336">
        <w:rPr>
          <w:lang w:val="it-IT"/>
        </w:rPr>
        <w:t>—</w:t>
      </w:r>
      <w:r w:rsidRPr="00024336">
        <w:rPr>
          <w:lang w:val="it-IT"/>
        </w:rPr>
        <w:t xml:space="preserve">original draft, </w:t>
      </w:r>
      <w:r w:rsidR="00363308" w:rsidRPr="00024336">
        <w:rPr>
          <w:lang w:val="it-IT"/>
        </w:rPr>
        <w:t>D.P.</w:t>
      </w:r>
      <w:r w:rsidRPr="00024336">
        <w:rPr>
          <w:lang w:val="it-IT"/>
        </w:rPr>
        <w:t>; Writing</w:t>
      </w:r>
      <w:r w:rsidR="00363308" w:rsidRPr="00024336">
        <w:rPr>
          <w:lang w:val="it-IT"/>
        </w:rPr>
        <w:t>—</w:t>
      </w:r>
      <w:r w:rsidRPr="00024336">
        <w:rPr>
          <w:lang w:val="it-IT"/>
        </w:rPr>
        <w:t xml:space="preserve">review &amp; editing, </w:t>
      </w:r>
      <w:r w:rsidR="00363308" w:rsidRPr="00024336">
        <w:rPr>
          <w:lang w:val="it-IT"/>
        </w:rPr>
        <w:t>R.T.</w:t>
      </w:r>
      <w:r w:rsidRPr="00024336">
        <w:rPr>
          <w:lang w:val="it-IT"/>
        </w:rPr>
        <w:t xml:space="preserve">, </w:t>
      </w:r>
      <w:r w:rsidR="00363308" w:rsidRPr="00024336">
        <w:rPr>
          <w:lang w:val="it-IT"/>
        </w:rPr>
        <w:t>L.G.</w:t>
      </w:r>
      <w:r w:rsidRPr="00024336">
        <w:rPr>
          <w:lang w:val="it-IT"/>
        </w:rPr>
        <w:t xml:space="preserve"> and </w:t>
      </w:r>
      <w:r w:rsidR="00363308" w:rsidRPr="00024336">
        <w:rPr>
          <w:lang w:val="it-IT"/>
        </w:rPr>
        <w:t>R.A.</w:t>
      </w:r>
      <w:r w:rsidR="00326730" w:rsidRPr="00024336">
        <w:rPr>
          <w:lang w:val="it-IT"/>
        </w:rPr>
        <w:t xml:space="preserve"> All authors have read and agreed to the published version of the manuscript.</w:t>
      </w:r>
    </w:p>
    <w:p w:rsidR="003C3009" w:rsidRPr="00024336" w:rsidRDefault="003C3009" w:rsidP="00363308">
      <w:pPr>
        <w:pStyle w:val="MDPI62Acknowledgments"/>
      </w:pPr>
      <w:r w:rsidRPr="00024336">
        <w:rPr>
          <w:b/>
        </w:rPr>
        <w:t xml:space="preserve">Funding: </w:t>
      </w:r>
      <w:r w:rsidRPr="00024336">
        <w:t>This research received no external funding</w:t>
      </w:r>
      <w:r w:rsidR="00116E6A" w:rsidRPr="00024336">
        <w:t>.</w:t>
      </w:r>
    </w:p>
    <w:p w:rsidR="003C3009" w:rsidRPr="00024336" w:rsidRDefault="003C3009" w:rsidP="00363308">
      <w:pPr>
        <w:pStyle w:val="MDPI62Acknowledgments"/>
        <w:rPr>
          <w:lang w:val="en-GB"/>
        </w:rPr>
      </w:pPr>
      <w:r w:rsidRPr="00024336">
        <w:rPr>
          <w:b/>
        </w:rPr>
        <w:t xml:space="preserve">Acknowledgments: </w:t>
      </w:r>
      <w:r w:rsidRPr="00024336">
        <w:rPr>
          <w:lang w:val="en-GB"/>
        </w:rPr>
        <w:t xml:space="preserve">This study does not involve any fund from funding agency. We wish to thank Silvia Nardecchia, from Department of </w:t>
      </w:r>
      <w:r w:rsidRPr="00024336">
        <w:rPr>
          <w:bCs/>
          <w:iCs/>
          <w:lang w:val="en-GB"/>
        </w:rPr>
        <w:t xml:space="preserve">Medical Translational Sciences, University Federico II </w:t>
      </w:r>
      <w:r w:rsidRPr="00024336">
        <w:rPr>
          <w:lang w:val="en-GB"/>
        </w:rPr>
        <w:t>for her valuable contribution.</w:t>
      </w:r>
    </w:p>
    <w:p w:rsidR="003C3009" w:rsidRPr="00024336" w:rsidRDefault="003C3009" w:rsidP="00363308">
      <w:pPr>
        <w:pStyle w:val="MDPI62Acknowledgments"/>
      </w:pPr>
      <w:r w:rsidRPr="00024336">
        <w:rPr>
          <w:b/>
        </w:rPr>
        <w:t xml:space="preserve">Conflicts of Interest: </w:t>
      </w:r>
      <w:r w:rsidRPr="00024336">
        <w:t>The authors declare no conflict of interest.</w:t>
      </w:r>
    </w:p>
    <w:p w:rsidR="00FA78B1" w:rsidRPr="00024336" w:rsidRDefault="00FA78B1" w:rsidP="00FA78B1">
      <w:pPr>
        <w:pStyle w:val="MDPI21heading1"/>
      </w:pPr>
      <w:r w:rsidRPr="00024336">
        <w:t>References</w:t>
      </w:r>
    </w:p>
    <w:p w:rsidR="00024336" w:rsidRPr="00024336" w:rsidRDefault="00024336" w:rsidP="00024336">
      <w:pPr>
        <w:pStyle w:val="MDPI71References"/>
        <w:adjustRightInd w:val="0"/>
        <w:snapToGrid w:val="0"/>
        <w:ind w:left="425" w:hanging="425"/>
      </w:pPr>
      <w:r w:rsidRPr="00024336">
        <w:t>White</w:t>
      </w:r>
      <w:bookmarkStart w:id="2" w:name="refTemp1"/>
      <w:bookmarkEnd w:id="2"/>
      <w:r w:rsidRPr="00024336">
        <w:t xml:space="preserve">, L.E.; Bannerman, E.; Gillett, P.M. Coeliac disease and the gluten-free diet: A review of the burdens; factors associated with adherence and impact on health-related quality of life, with specific focus on adolescence. </w:t>
      </w:r>
      <w:r w:rsidRPr="00024336">
        <w:rPr>
          <w:i/>
          <w:iCs/>
        </w:rPr>
        <w:t>J. Hum. Nutr. Diet.</w:t>
      </w:r>
      <w:r w:rsidRPr="00024336">
        <w:rPr>
          <w:b/>
          <w:bCs/>
        </w:rPr>
        <w:t>2016</w:t>
      </w:r>
      <w:r w:rsidRPr="00024336">
        <w:rPr>
          <w:bCs/>
        </w:rPr>
        <w:t xml:space="preserve">, </w:t>
      </w:r>
      <w:r w:rsidRPr="00024336">
        <w:rPr>
          <w:bCs/>
          <w:i/>
        </w:rPr>
        <w:t>29</w:t>
      </w:r>
      <w:r w:rsidRPr="00024336">
        <w:rPr>
          <w:bCs/>
        </w:rPr>
        <w:t>, 593–606</w:t>
      </w:r>
      <w:r w:rsidRPr="00024336">
        <w:t>, doi:10.1111/jhn.12375.</w:t>
      </w:r>
    </w:p>
    <w:p w:rsidR="00024336" w:rsidRPr="00024336" w:rsidRDefault="00024336" w:rsidP="00024336">
      <w:pPr>
        <w:pStyle w:val="MDPI71References"/>
        <w:adjustRightInd w:val="0"/>
        <w:snapToGrid w:val="0"/>
        <w:ind w:left="425" w:hanging="425"/>
      </w:pPr>
      <w:r w:rsidRPr="00024336">
        <w:t>Czaja</w:t>
      </w:r>
      <w:bookmarkStart w:id="3" w:name="refTemp2"/>
      <w:bookmarkEnd w:id="3"/>
      <w:r w:rsidRPr="00024336">
        <w:t xml:space="preserve">-Bulsa, G.; Bulsa, M. Adherence to Gluten-Free Diet in Children with Celiac Disease. </w:t>
      </w:r>
      <w:r w:rsidRPr="00024336">
        <w:rPr>
          <w:i/>
        </w:rPr>
        <w:t>Nutrients</w:t>
      </w:r>
      <w:r w:rsidRPr="00024336">
        <w:rPr>
          <w:b/>
          <w:bCs/>
        </w:rPr>
        <w:t>2018</w:t>
      </w:r>
      <w:r w:rsidRPr="00024336">
        <w:rPr>
          <w:bCs/>
        </w:rPr>
        <w:t xml:space="preserve">, </w:t>
      </w:r>
      <w:r w:rsidRPr="00024336">
        <w:rPr>
          <w:bCs/>
          <w:i/>
        </w:rPr>
        <w:t>10</w:t>
      </w:r>
      <w:r w:rsidRPr="00024336">
        <w:rPr>
          <w:bCs/>
        </w:rPr>
        <w:t>, 1424</w:t>
      </w:r>
      <w:r w:rsidRPr="00024336">
        <w:t>, doi:10.3390/nu10101424.</w:t>
      </w:r>
    </w:p>
    <w:p w:rsidR="00024336" w:rsidRPr="00024336" w:rsidRDefault="00024336" w:rsidP="00024336">
      <w:pPr>
        <w:pStyle w:val="MDPI71References"/>
        <w:adjustRightInd w:val="0"/>
        <w:snapToGrid w:val="0"/>
        <w:ind w:left="425" w:hanging="425"/>
      </w:pPr>
      <w:r w:rsidRPr="00024336">
        <w:t>Mehta</w:t>
      </w:r>
      <w:bookmarkStart w:id="4" w:name="refTemp3"/>
      <w:bookmarkEnd w:id="4"/>
      <w:r w:rsidRPr="00024336">
        <w:t xml:space="preserve">, P.; Pan, Z.; Riley, M.D.; Liu, E. Adherence to a gluten-free diet: Assessment by dietician interview and serology. </w:t>
      </w:r>
      <w:r w:rsidRPr="00024336">
        <w:rPr>
          <w:i/>
          <w:iCs/>
        </w:rPr>
        <w:t>J. Pediatr. Gastroenterol. Nutr</w:t>
      </w:r>
      <w:r w:rsidRPr="00024336">
        <w:t xml:space="preserve">. </w:t>
      </w:r>
      <w:r w:rsidRPr="00024336">
        <w:rPr>
          <w:b/>
          <w:bCs/>
        </w:rPr>
        <w:t>2018</w:t>
      </w:r>
      <w:r w:rsidRPr="00024336">
        <w:t xml:space="preserve">, </w:t>
      </w:r>
      <w:r w:rsidRPr="00024336">
        <w:rPr>
          <w:i/>
          <w:iCs/>
        </w:rPr>
        <w:t>66</w:t>
      </w:r>
      <w:r w:rsidRPr="00024336">
        <w:rPr>
          <w:iCs/>
        </w:rPr>
        <w:t xml:space="preserve">, </w:t>
      </w:r>
      <w:r w:rsidRPr="00024336">
        <w:t>e67–e70, doi:10.1097/MPG.0000000000001705.</w:t>
      </w:r>
    </w:p>
    <w:p w:rsidR="00024336" w:rsidRPr="00024336" w:rsidRDefault="00024336" w:rsidP="00024336">
      <w:pPr>
        <w:pStyle w:val="MDPI71References"/>
        <w:adjustRightInd w:val="0"/>
        <w:snapToGrid w:val="0"/>
        <w:ind w:left="425" w:hanging="425"/>
      </w:pPr>
      <w:r w:rsidRPr="00024336">
        <w:t>Pietzak</w:t>
      </w:r>
      <w:bookmarkStart w:id="5" w:name="refTemp4"/>
      <w:bookmarkEnd w:id="5"/>
      <w:r w:rsidRPr="00024336">
        <w:t xml:space="preserve">, M.M. Follow-up of patients with celiac disease: Achieving compliance with treatment. </w:t>
      </w:r>
      <w:r w:rsidRPr="00024336">
        <w:rPr>
          <w:i/>
          <w:iCs/>
        </w:rPr>
        <w:t xml:space="preserve">Gastroenterology </w:t>
      </w:r>
      <w:r w:rsidRPr="00024336">
        <w:rPr>
          <w:b/>
          <w:bCs/>
        </w:rPr>
        <w:t>2005</w:t>
      </w:r>
      <w:r w:rsidRPr="00024336">
        <w:t xml:space="preserve">, </w:t>
      </w:r>
      <w:r w:rsidRPr="00024336">
        <w:rPr>
          <w:i/>
          <w:iCs/>
        </w:rPr>
        <w:t>128</w:t>
      </w:r>
      <w:r w:rsidRPr="00024336">
        <w:rPr>
          <w:iCs/>
        </w:rPr>
        <w:t>, S</w:t>
      </w:r>
      <w:r w:rsidRPr="00024336">
        <w:t>135–S41.</w:t>
      </w:r>
    </w:p>
    <w:p w:rsidR="00024336" w:rsidRPr="00024336" w:rsidRDefault="00024336" w:rsidP="00024336">
      <w:pPr>
        <w:pStyle w:val="MDPI71References"/>
        <w:adjustRightInd w:val="0"/>
        <w:snapToGrid w:val="0"/>
        <w:ind w:left="425" w:hanging="425"/>
      </w:pPr>
      <w:r w:rsidRPr="00024336">
        <w:t>Myléus</w:t>
      </w:r>
      <w:bookmarkStart w:id="6" w:name="refTemp5"/>
      <w:bookmarkEnd w:id="6"/>
      <w:r w:rsidRPr="00024336">
        <w:t xml:space="preserve">, A.; Reilly, N.R.; Green, P.H.R. Rate, risk factors, and outcomes of nonadherence in pediatric patients with celiac disease: A systematic review. </w:t>
      </w:r>
      <w:r w:rsidRPr="00024336">
        <w:rPr>
          <w:i/>
        </w:rPr>
        <w:t>Clin. Gastroenterol. Hepatol</w:t>
      </w:r>
      <w:r w:rsidRPr="00024336">
        <w:t xml:space="preserve">. </w:t>
      </w:r>
      <w:r w:rsidRPr="00024336">
        <w:rPr>
          <w:b/>
          <w:bCs/>
        </w:rPr>
        <w:t>2020</w:t>
      </w:r>
      <w:r w:rsidRPr="00024336">
        <w:rPr>
          <w:bCs/>
        </w:rPr>
        <w:t xml:space="preserve">, </w:t>
      </w:r>
      <w:r w:rsidRPr="00024336">
        <w:rPr>
          <w:bCs/>
          <w:i/>
        </w:rPr>
        <w:t>18</w:t>
      </w:r>
      <w:r w:rsidRPr="00024336">
        <w:rPr>
          <w:bCs/>
        </w:rPr>
        <w:t>, 562–573</w:t>
      </w:r>
      <w:r w:rsidRPr="00024336">
        <w:t>, doi:10.1016/j.cgh.2019.05.046.</w:t>
      </w:r>
    </w:p>
    <w:p w:rsidR="00024336" w:rsidRPr="00024336" w:rsidRDefault="00024336" w:rsidP="00024336">
      <w:pPr>
        <w:pStyle w:val="MDPI71References"/>
        <w:adjustRightInd w:val="0"/>
        <w:snapToGrid w:val="0"/>
        <w:ind w:left="425" w:hanging="425"/>
      </w:pPr>
      <w:r w:rsidRPr="00024336">
        <w:t>Syage</w:t>
      </w:r>
      <w:bookmarkStart w:id="7" w:name="refTemp6"/>
      <w:bookmarkEnd w:id="7"/>
      <w:r w:rsidRPr="00024336">
        <w:t xml:space="preserve">, J.A.; Kelly, C.P.; Dickason, M.A.; Ramirez, A.C.; Leon, F.; Dominguez, R.; Sealey-Voyksner, J.A. Determination of gluten consumption in celiac disease patients on a gluten-free diet. </w:t>
      </w:r>
      <w:r w:rsidRPr="00024336">
        <w:rPr>
          <w:i/>
          <w:iCs/>
        </w:rPr>
        <w:t>Am. J. Clin. Nutr</w:t>
      </w:r>
      <w:r w:rsidRPr="00024336">
        <w:t xml:space="preserve">. </w:t>
      </w:r>
      <w:r w:rsidRPr="00024336">
        <w:rPr>
          <w:b/>
          <w:bCs/>
        </w:rPr>
        <w:t>2018</w:t>
      </w:r>
      <w:r w:rsidRPr="00024336">
        <w:rPr>
          <w:bCs/>
        </w:rPr>
        <w:t xml:space="preserve">, </w:t>
      </w:r>
      <w:r w:rsidRPr="00024336">
        <w:rPr>
          <w:bCs/>
          <w:i/>
        </w:rPr>
        <w:t>107</w:t>
      </w:r>
      <w:r w:rsidRPr="00024336">
        <w:rPr>
          <w:bCs/>
        </w:rPr>
        <w:t>, 201–207</w:t>
      </w:r>
      <w:r w:rsidRPr="00024336">
        <w:t>, doi:10.1093/ajcn/nqx049.</w:t>
      </w:r>
    </w:p>
    <w:p w:rsidR="00024336" w:rsidRPr="00024336" w:rsidRDefault="00024336" w:rsidP="00024336">
      <w:pPr>
        <w:pStyle w:val="MDPI71References"/>
        <w:adjustRightInd w:val="0"/>
        <w:snapToGrid w:val="0"/>
        <w:ind w:left="425" w:hanging="425"/>
      </w:pPr>
      <w:r w:rsidRPr="00024336">
        <w:lastRenderedPageBreak/>
        <w:t>Rodrigo</w:t>
      </w:r>
      <w:bookmarkStart w:id="8" w:name="refTemp7"/>
      <w:bookmarkEnd w:id="8"/>
      <w:r w:rsidRPr="00024336">
        <w:t xml:space="preserve">, L.; Pérez-Martinez, I.; Lauret-Braña, E.; Suárez-González, A. Descriptive study of the different tools used to evaluate the adherence to a gluten-free diet in celiac disease patients. </w:t>
      </w:r>
      <w:r w:rsidRPr="00024336">
        <w:rPr>
          <w:i/>
          <w:iCs/>
        </w:rPr>
        <w:t>Nutrients</w:t>
      </w:r>
      <w:r w:rsidRPr="00024336">
        <w:rPr>
          <w:b/>
          <w:bCs/>
        </w:rPr>
        <w:t>2018</w:t>
      </w:r>
      <w:r w:rsidRPr="00024336">
        <w:rPr>
          <w:bCs/>
        </w:rPr>
        <w:t xml:space="preserve">, </w:t>
      </w:r>
      <w:r w:rsidRPr="00024336">
        <w:rPr>
          <w:bCs/>
          <w:i/>
        </w:rPr>
        <w:t>10</w:t>
      </w:r>
      <w:r w:rsidRPr="00024336">
        <w:rPr>
          <w:bCs/>
        </w:rPr>
        <w:t>, 1777</w:t>
      </w:r>
      <w:r w:rsidRPr="00024336">
        <w:t>, doi:10.3390/nu10111777.</w:t>
      </w:r>
    </w:p>
    <w:p w:rsidR="00024336" w:rsidRPr="00024336" w:rsidRDefault="00024336" w:rsidP="00024336">
      <w:pPr>
        <w:pStyle w:val="MDPI71References"/>
        <w:adjustRightInd w:val="0"/>
        <w:snapToGrid w:val="0"/>
        <w:ind w:left="425" w:hanging="425"/>
      </w:pPr>
      <w:r w:rsidRPr="00024336">
        <w:t>Koletzko</w:t>
      </w:r>
      <w:bookmarkStart w:id="9" w:name="refTemp8"/>
      <w:bookmarkEnd w:id="9"/>
      <w:r w:rsidRPr="00024336">
        <w:t>, S.; Auricchio, R.; Dolinsek, J.; Gillett, P.; Korponay-Szabo, I.; Kurppa, K</w:t>
      </w:r>
      <w:r w:rsidRPr="00024336">
        <w:rPr>
          <w:color w:val="auto"/>
        </w:rPr>
        <w:t xml:space="preserve">.; </w:t>
      </w:r>
      <w:r w:rsidRPr="00024336">
        <w:rPr>
          <w:rFonts w:cs="Segoe UI"/>
          <w:color w:val="auto"/>
          <w:shd w:val="clear" w:color="auto" w:fill="FFFFFF"/>
          <w:lang w:bidi="ar-SA"/>
        </w:rPr>
        <w:t xml:space="preserve">Mearin, M.L.; Mäki, M.; Popp, A.; Ribes, C.; </w:t>
      </w:r>
      <w:r w:rsidRPr="00024336">
        <w:t xml:space="preserve">et al. No need for routine endoscopy in children with celiac disease on a gluten-free diet. </w:t>
      </w:r>
      <w:r w:rsidRPr="00024336">
        <w:rPr>
          <w:i/>
          <w:iCs/>
        </w:rPr>
        <w:t>J. Pediatr. Gastroenterol. Nutr</w:t>
      </w:r>
      <w:r w:rsidRPr="00024336">
        <w:t xml:space="preserve">. </w:t>
      </w:r>
      <w:r w:rsidRPr="00024336">
        <w:rPr>
          <w:b/>
          <w:bCs/>
        </w:rPr>
        <w:t>2017</w:t>
      </w:r>
      <w:r w:rsidRPr="00024336">
        <w:rPr>
          <w:bCs/>
        </w:rPr>
        <w:t xml:space="preserve">, </w:t>
      </w:r>
      <w:r w:rsidRPr="00024336">
        <w:rPr>
          <w:bCs/>
          <w:i/>
        </w:rPr>
        <w:t>65</w:t>
      </w:r>
      <w:r w:rsidRPr="00024336">
        <w:rPr>
          <w:bCs/>
        </w:rPr>
        <w:t>, 267–269</w:t>
      </w:r>
      <w:r w:rsidRPr="00024336">
        <w:t>, doi:10.1097/MPG.0000000000001628.</w:t>
      </w:r>
    </w:p>
    <w:p w:rsidR="00024336" w:rsidRPr="00024336" w:rsidRDefault="00024336" w:rsidP="00024336">
      <w:pPr>
        <w:pStyle w:val="MDPI71References"/>
        <w:adjustRightInd w:val="0"/>
        <w:snapToGrid w:val="0"/>
        <w:ind w:left="425" w:hanging="425"/>
      </w:pPr>
      <w:r w:rsidRPr="00024336">
        <w:t>See</w:t>
      </w:r>
      <w:bookmarkStart w:id="10" w:name="refTemp9"/>
      <w:bookmarkEnd w:id="10"/>
      <w:r w:rsidRPr="00024336">
        <w:t xml:space="preserve">, J.; Murray, J.A. Gluten-free diet: The medical and nutrition management of celiac disease. </w:t>
      </w:r>
      <w:r w:rsidRPr="00024336">
        <w:rPr>
          <w:i/>
          <w:iCs/>
        </w:rPr>
        <w:t>Nutr. Clin. Pract</w:t>
      </w:r>
      <w:r w:rsidRPr="00024336">
        <w:t xml:space="preserve">. </w:t>
      </w:r>
      <w:r w:rsidRPr="00024336">
        <w:rPr>
          <w:b/>
          <w:bCs/>
        </w:rPr>
        <w:t>2006</w:t>
      </w:r>
      <w:r w:rsidRPr="00024336">
        <w:rPr>
          <w:bCs/>
        </w:rPr>
        <w:t xml:space="preserve">, </w:t>
      </w:r>
      <w:r w:rsidRPr="00024336">
        <w:rPr>
          <w:bCs/>
          <w:i/>
        </w:rPr>
        <w:t>21</w:t>
      </w:r>
      <w:r w:rsidRPr="00024336">
        <w:rPr>
          <w:bCs/>
        </w:rPr>
        <w:t>, 1–15</w:t>
      </w:r>
      <w:r w:rsidRPr="00024336">
        <w:t>, doi:10.1177/011542650602100101.</w:t>
      </w:r>
    </w:p>
    <w:p w:rsidR="00024336" w:rsidRPr="00024336" w:rsidRDefault="00024336" w:rsidP="00024336">
      <w:pPr>
        <w:pStyle w:val="MDPI71References"/>
        <w:adjustRightInd w:val="0"/>
        <w:snapToGrid w:val="0"/>
        <w:ind w:left="425" w:hanging="425"/>
      </w:pPr>
      <w:r w:rsidRPr="00024336">
        <w:t>Leffler</w:t>
      </w:r>
      <w:bookmarkStart w:id="11" w:name="refTemp10"/>
      <w:bookmarkEnd w:id="11"/>
      <w:r w:rsidRPr="00024336">
        <w:t xml:space="preserve">, D.A.; Dennis, M.; Edwards George, J.B.; Jamma, S.; Magge, S.; Cook, E.F.; Schuppan, D.; Kelly, C.P. A simple validated gluten-free diet adherence survey for adults with celiac disease. </w:t>
      </w:r>
      <w:r w:rsidRPr="00024336">
        <w:rPr>
          <w:i/>
        </w:rPr>
        <w:t>Clin. Gastroenterol. Hepatol</w:t>
      </w:r>
      <w:r w:rsidRPr="00024336">
        <w:t xml:space="preserve">. </w:t>
      </w:r>
      <w:r w:rsidRPr="00024336">
        <w:rPr>
          <w:b/>
          <w:bCs/>
        </w:rPr>
        <w:t>2009</w:t>
      </w:r>
      <w:r w:rsidRPr="00024336">
        <w:rPr>
          <w:bCs/>
        </w:rPr>
        <w:t xml:space="preserve">, </w:t>
      </w:r>
      <w:r w:rsidRPr="00024336">
        <w:rPr>
          <w:bCs/>
          <w:i/>
        </w:rPr>
        <w:t>7</w:t>
      </w:r>
      <w:r w:rsidRPr="00024336">
        <w:rPr>
          <w:bCs/>
        </w:rPr>
        <w:t>, 530–536.</w:t>
      </w:r>
      <w:r w:rsidRPr="00024336">
        <w:t>e2, doi:10.1016/j.cgh.2008.12.032.</w:t>
      </w:r>
    </w:p>
    <w:p w:rsidR="00024336" w:rsidRPr="00024336" w:rsidRDefault="00024336" w:rsidP="00024336">
      <w:pPr>
        <w:pStyle w:val="MDPI71References"/>
        <w:adjustRightInd w:val="0"/>
        <w:snapToGrid w:val="0"/>
        <w:ind w:left="425" w:hanging="425"/>
      </w:pPr>
      <w:r w:rsidRPr="00024336">
        <w:rPr>
          <w:lang w:val="it-IT"/>
        </w:rPr>
        <w:t>Biagi</w:t>
      </w:r>
      <w:bookmarkStart w:id="12" w:name="refTemp11"/>
      <w:bookmarkEnd w:id="12"/>
      <w:r w:rsidRPr="00024336">
        <w:rPr>
          <w:lang w:val="it-IT"/>
        </w:rPr>
        <w:t xml:space="preserve">, F.; Bianchi, P.I.; Marchese, A.; Trotta, L.; Vattiato, C.; Balduzzi, D.; Brusco, G.; Andrealli, A.; Cisarò, F.; Astegiano, M.; et al. </w:t>
      </w:r>
      <w:r w:rsidRPr="00024336">
        <w:t xml:space="preserve">A score that verifies adherence to a gluten-free diet: A cross-sectional, multicentre validation in real clinical life. </w:t>
      </w:r>
      <w:r w:rsidRPr="00024336">
        <w:rPr>
          <w:i/>
        </w:rPr>
        <w:t>Br. J. Nutr</w:t>
      </w:r>
      <w:r w:rsidRPr="00024336">
        <w:t xml:space="preserve">. </w:t>
      </w:r>
      <w:r w:rsidRPr="00024336">
        <w:rPr>
          <w:b/>
          <w:bCs/>
        </w:rPr>
        <w:t>2012</w:t>
      </w:r>
      <w:r w:rsidRPr="00024336">
        <w:rPr>
          <w:bCs/>
        </w:rPr>
        <w:t xml:space="preserve">, </w:t>
      </w:r>
      <w:r w:rsidRPr="00024336">
        <w:rPr>
          <w:bCs/>
          <w:i/>
        </w:rPr>
        <w:t>108</w:t>
      </w:r>
      <w:r w:rsidRPr="00024336">
        <w:rPr>
          <w:bCs/>
        </w:rPr>
        <w:t>, 1884–1888,</w:t>
      </w:r>
      <w:r w:rsidRPr="00024336">
        <w:t xml:space="preserve"> doi:10.1017/S0007114511007367.</w:t>
      </w:r>
    </w:p>
    <w:p w:rsidR="00024336" w:rsidRPr="00024336" w:rsidRDefault="00024336" w:rsidP="00024336">
      <w:pPr>
        <w:pStyle w:val="MDPI71References"/>
        <w:adjustRightInd w:val="0"/>
        <w:snapToGrid w:val="0"/>
        <w:ind w:left="425" w:hanging="425"/>
      </w:pPr>
      <w:r w:rsidRPr="00024336">
        <w:t>Wessels</w:t>
      </w:r>
      <w:bookmarkStart w:id="13" w:name="refTemp12"/>
      <w:bookmarkEnd w:id="13"/>
      <w:r w:rsidRPr="00024336">
        <w:t xml:space="preserve">, M.M.S.; TeLintelo, M.; Vriezinga, S.L.; Putter, H.; Hopman, E.G.; Mearin, M.L. Assessment of dietary compliance in celiac children using a standardized dietary interview. </w:t>
      </w:r>
      <w:r w:rsidRPr="00024336">
        <w:rPr>
          <w:i/>
          <w:iCs/>
        </w:rPr>
        <w:t>Clin. Nutr.</w:t>
      </w:r>
      <w:r w:rsidRPr="00024336">
        <w:rPr>
          <w:b/>
          <w:bCs/>
        </w:rPr>
        <w:t>2018</w:t>
      </w:r>
      <w:r w:rsidRPr="00024336">
        <w:rPr>
          <w:bCs/>
        </w:rPr>
        <w:t xml:space="preserve">, </w:t>
      </w:r>
      <w:r w:rsidRPr="00024336">
        <w:rPr>
          <w:bCs/>
          <w:i/>
        </w:rPr>
        <w:t>37</w:t>
      </w:r>
      <w:r w:rsidRPr="00024336">
        <w:rPr>
          <w:bCs/>
        </w:rPr>
        <w:t>, 1000–1004</w:t>
      </w:r>
      <w:r w:rsidRPr="00024336">
        <w:t>, doi:10.1016/j.clnu.2017.04.010.</w:t>
      </w:r>
    </w:p>
    <w:p w:rsidR="00024336" w:rsidRPr="00024336" w:rsidRDefault="00024336" w:rsidP="00024336">
      <w:pPr>
        <w:pStyle w:val="MDPI71References"/>
        <w:adjustRightInd w:val="0"/>
        <w:snapToGrid w:val="0"/>
        <w:ind w:left="425" w:hanging="425"/>
      </w:pPr>
      <w:r w:rsidRPr="00024336">
        <w:t>Dupuy</w:t>
      </w:r>
      <w:bookmarkStart w:id="14" w:name="refTemp13"/>
      <w:bookmarkEnd w:id="14"/>
      <w:r w:rsidRPr="00024336">
        <w:t xml:space="preserve">, H.J. The Psychological General Well-being (PGWB) Index. In </w:t>
      </w:r>
      <w:r w:rsidRPr="00024336">
        <w:rPr>
          <w:i/>
        </w:rPr>
        <w:t>Assessment of Quality of Life in Clinical Trials of Cardiovascular Therapies</w:t>
      </w:r>
      <w:r w:rsidRPr="00024336">
        <w:t xml:space="preserve">; Wenger, N.K., Mattson, M.E., Furburg, C.D., Elinson, J., Eds.; </w:t>
      </w:r>
      <w:r w:rsidRPr="00024336">
        <w:rPr>
          <w:iCs/>
        </w:rPr>
        <w:t>Le Jacq Publishing</w:t>
      </w:r>
      <w:r w:rsidRPr="00024336">
        <w:t xml:space="preserve">: New York, NY, USA, </w:t>
      </w:r>
      <w:r w:rsidRPr="00024336">
        <w:rPr>
          <w:bCs/>
        </w:rPr>
        <w:t>1984</w:t>
      </w:r>
      <w:r w:rsidRPr="00024336">
        <w:t>; pp. 170–183.</w:t>
      </w:r>
    </w:p>
    <w:p w:rsidR="00024336" w:rsidRPr="00024336" w:rsidRDefault="00024336" w:rsidP="00024336">
      <w:pPr>
        <w:pStyle w:val="MDPI71References"/>
        <w:adjustRightInd w:val="0"/>
        <w:snapToGrid w:val="0"/>
        <w:ind w:left="425" w:hanging="425"/>
      </w:pPr>
      <w:r w:rsidRPr="00024336">
        <w:t>Nicastro</w:t>
      </w:r>
      <w:bookmarkStart w:id="15" w:name="refTemp14"/>
      <w:bookmarkEnd w:id="15"/>
      <w:r w:rsidRPr="00024336">
        <w:t xml:space="preserve">, E.; Continisio, G I.; Storace, C.; Bruzzese, E.; Mango, C.; Liguoro, I.; </w:t>
      </w:r>
      <w:r w:rsidRPr="00024336">
        <w:rPr>
          <w:rFonts w:cs="Segoe UI"/>
          <w:color w:val="auto"/>
          <w:shd w:val="clear" w:color="auto" w:fill="FFFFFF"/>
          <w:lang w:bidi="ar-SA"/>
        </w:rPr>
        <w:t>Guarino, A.; Officioso, A</w:t>
      </w:r>
      <w:r w:rsidRPr="00024336">
        <w:rPr>
          <w:color w:val="auto"/>
        </w:rPr>
        <w:t xml:space="preserve">. </w:t>
      </w:r>
      <w:r w:rsidRPr="00024336">
        <w:t xml:space="preserve">Family group psychotherapy to support the disclosure of HIV status to children and adolescents. </w:t>
      </w:r>
      <w:r w:rsidRPr="00024336">
        <w:rPr>
          <w:i/>
          <w:iCs/>
        </w:rPr>
        <w:t>AID</w:t>
      </w:r>
      <w:r w:rsidRPr="00024336">
        <w:rPr>
          <w:i/>
          <w:iCs/>
          <w:color w:val="auto"/>
          <w:szCs w:val="13"/>
          <w:lang w:eastAsia="it-IT"/>
        </w:rPr>
        <w:t>S Patient Care STDS</w:t>
      </w:r>
      <w:r w:rsidRPr="00024336">
        <w:rPr>
          <w:b/>
          <w:bCs/>
          <w:color w:val="auto"/>
          <w:szCs w:val="13"/>
          <w:lang w:eastAsia="it-IT"/>
        </w:rPr>
        <w:t>2013</w:t>
      </w:r>
      <w:r w:rsidRPr="00024336">
        <w:rPr>
          <w:color w:val="auto"/>
          <w:szCs w:val="13"/>
          <w:lang w:eastAsia="it-IT"/>
        </w:rPr>
        <w:t xml:space="preserve">, </w:t>
      </w:r>
      <w:r w:rsidRPr="00024336">
        <w:rPr>
          <w:i/>
          <w:color w:val="auto"/>
          <w:szCs w:val="13"/>
          <w:lang w:eastAsia="it-IT"/>
        </w:rPr>
        <w:t>27</w:t>
      </w:r>
      <w:r w:rsidRPr="00024336">
        <w:rPr>
          <w:color w:val="auto"/>
          <w:szCs w:val="13"/>
          <w:lang w:eastAsia="it-IT"/>
        </w:rPr>
        <w:t>, 363–369, doi:10.1089/apc.2012.0465.</w:t>
      </w:r>
    </w:p>
    <w:p w:rsidR="00024336" w:rsidRPr="00024336" w:rsidRDefault="00024336" w:rsidP="00024336">
      <w:pPr>
        <w:pStyle w:val="MDPI71References"/>
        <w:adjustRightInd w:val="0"/>
        <w:snapToGrid w:val="0"/>
        <w:ind w:left="425" w:hanging="425"/>
      </w:pPr>
      <w:r w:rsidRPr="00024336">
        <w:t>Husby</w:t>
      </w:r>
      <w:bookmarkStart w:id="16" w:name="refTemp15"/>
      <w:bookmarkEnd w:id="16"/>
      <w:r w:rsidRPr="00024336">
        <w:t xml:space="preserve">, S.; Koletzko, S.; Korponay-Szabó, I.; Mearin, M.L.; Phillips, A.; Shamir, R.; </w:t>
      </w:r>
      <w:r w:rsidRPr="00024336">
        <w:rPr>
          <w:rFonts w:cs="Segoe UI"/>
          <w:color w:val="auto"/>
          <w:shd w:val="clear" w:color="auto" w:fill="FFFFFF"/>
          <w:lang w:bidi="ar-SA"/>
        </w:rPr>
        <w:t xml:space="preserve">Troncone, R.; Giersiepen, K.; Branski, D.; Catassi, C.; </w:t>
      </w:r>
      <w:r w:rsidRPr="00024336">
        <w:t xml:space="preserve">et al. European Society for Pediatric Gastroenterology, Hepatology, and Nutrition guidelines for the diagnosis of coeliac disease. </w:t>
      </w:r>
      <w:r w:rsidRPr="00024336">
        <w:rPr>
          <w:i/>
          <w:iCs/>
        </w:rPr>
        <w:t>J. Pediatr. Gastroenterol. Nutr.</w:t>
      </w:r>
      <w:r w:rsidRPr="00024336">
        <w:rPr>
          <w:b/>
          <w:bCs/>
        </w:rPr>
        <w:t>2012</w:t>
      </w:r>
      <w:r w:rsidRPr="00024336">
        <w:rPr>
          <w:bCs/>
        </w:rPr>
        <w:t xml:space="preserve">, </w:t>
      </w:r>
      <w:r w:rsidRPr="00024336">
        <w:rPr>
          <w:bCs/>
          <w:i/>
        </w:rPr>
        <w:t>54</w:t>
      </w:r>
      <w:r w:rsidRPr="00024336">
        <w:rPr>
          <w:bCs/>
        </w:rPr>
        <w:t>, 136–160,</w:t>
      </w:r>
      <w:r w:rsidRPr="00024336">
        <w:t xml:space="preserve"> doi:10.1097/MPG.0b013e31821a23d0.</w:t>
      </w:r>
    </w:p>
    <w:p w:rsidR="00024336" w:rsidRPr="00024336" w:rsidRDefault="00024336" w:rsidP="00024336">
      <w:pPr>
        <w:pStyle w:val="MDPI71References"/>
        <w:adjustRightInd w:val="0"/>
        <w:snapToGrid w:val="0"/>
        <w:ind w:left="425" w:hanging="425"/>
      </w:pPr>
      <w:r w:rsidRPr="00024336">
        <w:t>Sbravati</w:t>
      </w:r>
      <w:bookmarkStart w:id="17" w:name="refTemp16"/>
      <w:bookmarkEnd w:id="17"/>
      <w:r w:rsidRPr="00024336">
        <w:t xml:space="preserve">, F.; Pagano, S.; Retetangos, C.; Spisni, E.; Bolasco, G.; Labriola, F.; Filardi, M.C.; Grondona, A.G.; Alvisi, P. Adherence to Gluten-free Diet in a Celiac Pediatric Population Referred to the General Pediatrician after Remission. </w:t>
      </w:r>
      <w:r w:rsidRPr="00024336">
        <w:rPr>
          <w:i/>
          <w:iCs/>
        </w:rPr>
        <w:t>J. Pediatr. Gastroenterol. Nutr</w:t>
      </w:r>
      <w:r w:rsidRPr="00024336">
        <w:t xml:space="preserve">. </w:t>
      </w:r>
      <w:r w:rsidRPr="00024336">
        <w:rPr>
          <w:b/>
          <w:bCs/>
        </w:rPr>
        <w:t>2020</w:t>
      </w:r>
      <w:r w:rsidRPr="00024336">
        <w:rPr>
          <w:bCs/>
        </w:rPr>
        <w:t xml:space="preserve">, </w:t>
      </w:r>
      <w:r w:rsidRPr="00024336">
        <w:rPr>
          <w:bCs/>
          <w:i/>
        </w:rPr>
        <w:t>71</w:t>
      </w:r>
      <w:r w:rsidRPr="00024336">
        <w:rPr>
          <w:bCs/>
        </w:rPr>
        <w:t>, 78–82</w:t>
      </w:r>
      <w:r w:rsidRPr="00024336">
        <w:t>, doi:10.1097/MPG.0000000000002676.</w:t>
      </w:r>
    </w:p>
    <w:p w:rsidR="00024336" w:rsidRPr="00024336" w:rsidRDefault="00024336" w:rsidP="00024336">
      <w:pPr>
        <w:pStyle w:val="MDPI71References"/>
        <w:adjustRightInd w:val="0"/>
        <w:snapToGrid w:val="0"/>
        <w:ind w:left="425" w:hanging="425"/>
      </w:pPr>
      <w:r w:rsidRPr="00024336">
        <w:t>Silvester</w:t>
      </w:r>
      <w:bookmarkStart w:id="18" w:name="refTemp17"/>
      <w:bookmarkEnd w:id="18"/>
      <w:r w:rsidRPr="00024336">
        <w:t xml:space="preserve">, J.A.; Weiten, D.; Graff, L.A.; Walker, J.R.; Duerksen, D.R. Is it gluten-free? Relationship between self-reported gluten-free diet adherence and knowledge of gluten content of foods. </w:t>
      </w:r>
      <w:r w:rsidRPr="00024336">
        <w:rPr>
          <w:i/>
          <w:iCs/>
        </w:rPr>
        <w:t>Nutrition</w:t>
      </w:r>
      <w:r w:rsidRPr="00024336">
        <w:rPr>
          <w:b/>
          <w:bCs/>
        </w:rPr>
        <w:t>2016</w:t>
      </w:r>
      <w:r w:rsidRPr="00024336">
        <w:t xml:space="preserve">, </w:t>
      </w:r>
      <w:r w:rsidRPr="00024336">
        <w:rPr>
          <w:i/>
          <w:iCs/>
        </w:rPr>
        <w:t>32</w:t>
      </w:r>
      <w:r w:rsidRPr="00024336">
        <w:rPr>
          <w:iCs/>
        </w:rPr>
        <w:t xml:space="preserve">, </w:t>
      </w:r>
      <w:r w:rsidRPr="00024336">
        <w:t>777–83, doi:10.1016/j.nut.2016.01.021.</w:t>
      </w:r>
    </w:p>
    <w:p w:rsidR="00024336" w:rsidRPr="00024336" w:rsidRDefault="00024336" w:rsidP="00024336">
      <w:pPr>
        <w:pStyle w:val="MDPI71References"/>
        <w:adjustRightInd w:val="0"/>
        <w:snapToGrid w:val="0"/>
        <w:ind w:left="425" w:hanging="425"/>
      </w:pPr>
      <w:r w:rsidRPr="00024336">
        <w:t>Meyer</w:t>
      </w:r>
      <w:bookmarkStart w:id="19" w:name="refTemp18"/>
      <w:bookmarkEnd w:id="19"/>
      <w:r w:rsidRPr="00024336">
        <w:t xml:space="preserve">, S.; Rosenblum, S. Activities, participation and quality of life concepts in children and adolescents with celiac disease: A scoping review. </w:t>
      </w:r>
      <w:r w:rsidRPr="00024336">
        <w:rPr>
          <w:i/>
          <w:iCs/>
        </w:rPr>
        <w:t>Nutrients</w:t>
      </w:r>
      <w:r w:rsidRPr="00024336">
        <w:rPr>
          <w:b/>
          <w:bCs/>
        </w:rPr>
        <w:t>2017</w:t>
      </w:r>
      <w:r w:rsidRPr="00024336">
        <w:rPr>
          <w:bCs/>
        </w:rPr>
        <w:t xml:space="preserve">, </w:t>
      </w:r>
      <w:r w:rsidRPr="00024336">
        <w:rPr>
          <w:bCs/>
          <w:i/>
        </w:rPr>
        <w:t>9</w:t>
      </w:r>
      <w:r w:rsidRPr="00024336">
        <w:rPr>
          <w:bCs/>
        </w:rPr>
        <w:t>, 929</w:t>
      </w:r>
      <w:r w:rsidRPr="00024336">
        <w:t>, doi:10.3390/nu9090929.</w:t>
      </w:r>
    </w:p>
    <w:p w:rsidR="00024336" w:rsidRPr="00024336" w:rsidRDefault="00024336" w:rsidP="00024336">
      <w:pPr>
        <w:pStyle w:val="MDPI71References"/>
        <w:adjustRightInd w:val="0"/>
        <w:snapToGrid w:val="0"/>
        <w:ind w:left="425" w:hanging="425"/>
      </w:pPr>
      <w:r w:rsidRPr="00024336">
        <w:t>Husby</w:t>
      </w:r>
      <w:bookmarkStart w:id="20" w:name="refTemp19"/>
      <w:bookmarkEnd w:id="20"/>
      <w:r w:rsidRPr="00024336">
        <w:t xml:space="preserve">, S.; Koletzko, S.; Korponay-Szabó, I.; Kurppa, K.; Mearin, M.L.; Ribes-Koninckx, C.; </w:t>
      </w:r>
      <w:r w:rsidRPr="00024336">
        <w:rPr>
          <w:rFonts w:cs="Segoe UI"/>
          <w:color w:val="auto"/>
          <w:shd w:val="clear" w:color="auto" w:fill="FFFFFF"/>
          <w:lang w:bidi="ar-SA"/>
        </w:rPr>
        <w:t xml:space="preserve">Shamir, R.; Troncone, R.; Auricchio, R.; Castillejo, G.; </w:t>
      </w:r>
      <w:r w:rsidRPr="00024336">
        <w:t xml:space="preserve">et al. European society paediatric gastroenterology, hepatology and nutrition guidelines for diagnosing coeliac disease 2020. </w:t>
      </w:r>
      <w:r w:rsidRPr="00024336">
        <w:rPr>
          <w:i/>
          <w:iCs/>
        </w:rPr>
        <w:t>J. Pediatr. Gastroenterol. Nutr.</w:t>
      </w:r>
      <w:r w:rsidRPr="00024336">
        <w:rPr>
          <w:b/>
          <w:bCs/>
        </w:rPr>
        <w:t>2020</w:t>
      </w:r>
      <w:r w:rsidRPr="00024336">
        <w:rPr>
          <w:bCs/>
        </w:rPr>
        <w:t xml:space="preserve">, </w:t>
      </w:r>
      <w:r w:rsidRPr="00024336">
        <w:rPr>
          <w:bCs/>
          <w:i/>
        </w:rPr>
        <w:t>70</w:t>
      </w:r>
      <w:r w:rsidRPr="00024336">
        <w:rPr>
          <w:bCs/>
        </w:rPr>
        <w:t>, 141–156</w:t>
      </w:r>
      <w:r w:rsidRPr="00024336">
        <w:t>, doi:10.1097/MPG.0000000000002497.</w:t>
      </w:r>
    </w:p>
    <w:p w:rsidR="00024336" w:rsidRPr="00024336" w:rsidRDefault="00024336" w:rsidP="00024336">
      <w:pPr>
        <w:pStyle w:val="MDPI71References"/>
        <w:adjustRightInd w:val="0"/>
        <w:snapToGrid w:val="0"/>
        <w:ind w:left="425" w:hanging="425"/>
      </w:pPr>
      <w:r w:rsidRPr="00024336">
        <w:t>Biagetti</w:t>
      </w:r>
      <w:bookmarkStart w:id="21" w:name="refTemp20"/>
      <w:bookmarkEnd w:id="21"/>
      <w:r w:rsidRPr="00024336">
        <w:t xml:space="preserve">, C.; Gesuita, R.; Gatti, S.; Catassi, C. Quality of life in children with celiac disease: A paediatric cross-sectional study. </w:t>
      </w:r>
      <w:r w:rsidRPr="00024336">
        <w:rPr>
          <w:i/>
          <w:iCs/>
        </w:rPr>
        <w:t>Dig. Liver Dis</w:t>
      </w:r>
      <w:r w:rsidRPr="00024336">
        <w:t xml:space="preserve">. </w:t>
      </w:r>
      <w:r w:rsidRPr="00024336">
        <w:rPr>
          <w:b/>
          <w:bCs/>
        </w:rPr>
        <w:t>2015</w:t>
      </w:r>
      <w:r w:rsidRPr="00024336">
        <w:rPr>
          <w:bCs/>
        </w:rPr>
        <w:t xml:space="preserve">, </w:t>
      </w:r>
      <w:r w:rsidRPr="00024336">
        <w:rPr>
          <w:bCs/>
          <w:i/>
        </w:rPr>
        <w:t>47</w:t>
      </w:r>
      <w:r w:rsidRPr="00024336">
        <w:rPr>
          <w:bCs/>
        </w:rPr>
        <w:t>, 927–932,</w:t>
      </w:r>
      <w:r w:rsidRPr="00024336">
        <w:t xml:space="preserve"> doi:10.1016/j.dld.2015.07.009.</w:t>
      </w:r>
    </w:p>
    <w:p w:rsidR="00024336" w:rsidRPr="00024336" w:rsidRDefault="00024336" w:rsidP="00024336">
      <w:pPr>
        <w:pStyle w:val="MDPI71References"/>
        <w:adjustRightInd w:val="0"/>
        <w:snapToGrid w:val="0"/>
        <w:ind w:left="425" w:hanging="425"/>
      </w:pPr>
      <w:r w:rsidRPr="00024336">
        <w:t>Barrio</w:t>
      </w:r>
      <w:bookmarkStart w:id="22" w:name="refTemp21"/>
      <w:bookmarkEnd w:id="22"/>
      <w:r w:rsidRPr="00024336">
        <w:t xml:space="preserve">, J.; Roman, E.; Cilleruelo, M.; Márquez, M.; Mearin, M.L.; Fernández, C. Health-related quality of life in Spanish children with coeliac disease. </w:t>
      </w:r>
      <w:r w:rsidRPr="00024336">
        <w:rPr>
          <w:i/>
          <w:iCs/>
        </w:rPr>
        <w:t>J. Pediatr. Gastroenterol. Nutr.</w:t>
      </w:r>
      <w:r w:rsidRPr="00024336">
        <w:rPr>
          <w:b/>
          <w:bCs/>
        </w:rPr>
        <w:t>2016</w:t>
      </w:r>
      <w:r w:rsidRPr="00024336">
        <w:t>,</w:t>
      </w:r>
      <w:r w:rsidRPr="00024336">
        <w:rPr>
          <w:i/>
          <w:iCs/>
        </w:rPr>
        <w:t xml:space="preserve"> 62</w:t>
      </w:r>
      <w:r w:rsidRPr="00024336">
        <w:t>, 603–608, doi:10.1097/MPG.0000000000000963.</w:t>
      </w:r>
    </w:p>
    <w:p w:rsidR="00024336" w:rsidRPr="00024336" w:rsidRDefault="00024336" w:rsidP="00024336">
      <w:pPr>
        <w:pStyle w:val="MDPI71References"/>
        <w:adjustRightInd w:val="0"/>
        <w:snapToGrid w:val="0"/>
        <w:ind w:left="425" w:hanging="425"/>
      </w:pPr>
      <w:r w:rsidRPr="00024336">
        <w:t>Errichiello</w:t>
      </w:r>
      <w:bookmarkStart w:id="23" w:name="refTemp22"/>
      <w:bookmarkEnd w:id="23"/>
      <w:r w:rsidRPr="00024336">
        <w:t>, S.; Esposito, O.; Di Mase, R.; Camarca, M.E.; Natale, C.; Limongelli, M.G.; Marano, C.; Coruzzo, A.; Lombardo, M.; Strisciuglio, P.; et al. Celiac disease: Predictors of compliance with a gluten-free diet in adolescents and young adults</w:t>
      </w:r>
      <w:r w:rsidRPr="00024336">
        <w:rPr>
          <w:i/>
          <w:iCs/>
        </w:rPr>
        <w:t>. J. Pediatr. Gastroenterol. Nutr</w:t>
      </w:r>
      <w:r w:rsidRPr="00024336">
        <w:t xml:space="preserve">. </w:t>
      </w:r>
      <w:r w:rsidRPr="00024336">
        <w:rPr>
          <w:b/>
          <w:bCs/>
        </w:rPr>
        <w:t>2010</w:t>
      </w:r>
      <w:r w:rsidRPr="00024336">
        <w:rPr>
          <w:bCs/>
        </w:rPr>
        <w:t xml:space="preserve">, </w:t>
      </w:r>
      <w:r w:rsidRPr="00024336">
        <w:rPr>
          <w:bCs/>
          <w:i/>
        </w:rPr>
        <w:t>50</w:t>
      </w:r>
      <w:r w:rsidRPr="00024336">
        <w:rPr>
          <w:bCs/>
        </w:rPr>
        <w:t>, 54–60</w:t>
      </w:r>
      <w:r w:rsidRPr="00024336">
        <w:t>, doi:10.1097/MPG.0b013e31819de82a.</w:t>
      </w:r>
    </w:p>
    <w:p w:rsidR="00024336" w:rsidRPr="00024336" w:rsidRDefault="00024336" w:rsidP="00024336">
      <w:pPr>
        <w:pStyle w:val="MDPI71References"/>
        <w:adjustRightInd w:val="0"/>
        <w:snapToGrid w:val="0"/>
        <w:ind w:left="425" w:hanging="425"/>
      </w:pPr>
      <w:r w:rsidRPr="00024336">
        <w:t>Soliman</w:t>
      </w:r>
      <w:bookmarkStart w:id="24" w:name="refTemp23"/>
      <w:bookmarkEnd w:id="24"/>
      <w:r w:rsidRPr="00024336">
        <w:t xml:space="preserve">, A.; Laham, M.; Jour, C.; Souikey, F.; Itani, M.; Al-Safi, A.; Karmallah, A.; Qudaisat, A.; Alarabi, Z.; Hassan, A.; et al. Linear growth of children with celiac disease after the first two years on gluten-free diet: A controlled study. </w:t>
      </w:r>
      <w:r w:rsidRPr="00024336">
        <w:rPr>
          <w:i/>
          <w:iCs/>
        </w:rPr>
        <w:t>Acta Biomed</w:t>
      </w:r>
      <w:r w:rsidRPr="00024336">
        <w:t xml:space="preserve">. </w:t>
      </w:r>
      <w:r w:rsidRPr="00024336">
        <w:rPr>
          <w:b/>
          <w:bCs/>
        </w:rPr>
        <w:t>2019</w:t>
      </w:r>
      <w:r w:rsidRPr="00024336">
        <w:t xml:space="preserve">, </w:t>
      </w:r>
      <w:r w:rsidRPr="00024336">
        <w:rPr>
          <w:i/>
          <w:iCs/>
        </w:rPr>
        <w:t>90</w:t>
      </w:r>
      <w:r w:rsidRPr="00024336">
        <w:rPr>
          <w:iCs/>
        </w:rPr>
        <w:t xml:space="preserve"> (Suppl. S8), </w:t>
      </w:r>
      <w:r w:rsidRPr="00024336">
        <w:t>20–27, doi:10.23750/abm.v90i8-S.8515.</w:t>
      </w:r>
    </w:p>
    <w:p w:rsidR="00024336" w:rsidRPr="00024336" w:rsidRDefault="00024336" w:rsidP="00024336">
      <w:pPr>
        <w:pStyle w:val="MDPI71References"/>
        <w:adjustRightInd w:val="0"/>
        <w:snapToGrid w:val="0"/>
        <w:ind w:left="425" w:hanging="425"/>
      </w:pPr>
      <w:r w:rsidRPr="00024336">
        <w:t>Troncone</w:t>
      </w:r>
      <w:bookmarkStart w:id="25" w:name="refTemp24"/>
      <w:bookmarkEnd w:id="25"/>
      <w:r w:rsidRPr="00024336">
        <w:t xml:space="preserve">, R.; Kosova, R. Short stature and catch-up growth in celiac disease. </w:t>
      </w:r>
      <w:r w:rsidRPr="00024336">
        <w:rPr>
          <w:i/>
          <w:iCs/>
        </w:rPr>
        <w:t>J. Pediatr. Gastroenterol. Nutr.</w:t>
      </w:r>
      <w:r w:rsidRPr="00024336">
        <w:rPr>
          <w:b/>
          <w:bCs/>
        </w:rPr>
        <w:t>2010</w:t>
      </w:r>
      <w:r w:rsidRPr="00024336">
        <w:t xml:space="preserve">, </w:t>
      </w:r>
      <w:r w:rsidRPr="00024336">
        <w:rPr>
          <w:i/>
          <w:iCs/>
        </w:rPr>
        <w:t>51</w:t>
      </w:r>
      <w:r w:rsidRPr="00024336">
        <w:rPr>
          <w:iCs/>
        </w:rPr>
        <w:t xml:space="preserve"> (Suppl. S3), </w:t>
      </w:r>
      <w:r w:rsidRPr="00024336">
        <w:t>137–138, doi:10.1097/MPG.0b013e3181f1dd66.</w:t>
      </w:r>
    </w:p>
    <w:p w:rsidR="00024336" w:rsidRPr="00024336" w:rsidRDefault="00024336" w:rsidP="00024336">
      <w:pPr>
        <w:pStyle w:val="MDPI71References"/>
        <w:adjustRightInd w:val="0"/>
        <w:snapToGrid w:val="0"/>
        <w:ind w:left="425" w:hanging="425"/>
      </w:pPr>
      <w:r w:rsidRPr="00024336">
        <w:lastRenderedPageBreak/>
        <w:t>Kabbani</w:t>
      </w:r>
      <w:bookmarkStart w:id="26" w:name="refTemp25"/>
      <w:bookmarkEnd w:id="26"/>
      <w:r w:rsidRPr="00024336">
        <w:t xml:space="preserve">, T.A.; Goldberg, A.; Kelly, C.P.; Pallav, K.; Tariq, S.; Peer, A.; Hansen, J.; Dennis, M.; Leffler, D.A. Body mass index and the risk of obesity in coeliac disease treated with the gluten-free diet. </w:t>
      </w:r>
      <w:r w:rsidRPr="00024336">
        <w:rPr>
          <w:i/>
          <w:iCs/>
        </w:rPr>
        <w:t>Aliment. Pharmacol. Ther</w:t>
      </w:r>
      <w:r w:rsidRPr="00024336">
        <w:t xml:space="preserve">. </w:t>
      </w:r>
      <w:r w:rsidRPr="00024336">
        <w:rPr>
          <w:b/>
          <w:bCs/>
        </w:rPr>
        <w:t>2012</w:t>
      </w:r>
      <w:r w:rsidRPr="00024336">
        <w:rPr>
          <w:bCs/>
        </w:rPr>
        <w:t xml:space="preserve">, </w:t>
      </w:r>
      <w:r w:rsidRPr="00024336">
        <w:rPr>
          <w:bCs/>
          <w:i/>
        </w:rPr>
        <w:t>35</w:t>
      </w:r>
      <w:r w:rsidRPr="00024336">
        <w:rPr>
          <w:bCs/>
        </w:rPr>
        <w:t>, 723–729,</w:t>
      </w:r>
      <w:r w:rsidRPr="00024336">
        <w:t xml:space="preserve"> doi:10.1111/j.1365-2036.2012.05001.x.</w:t>
      </w:r>
    </w:p>
    <w:p w:rsidR="00024336" w:rsidRPr="00024336" w:rsidRDefault="00024336" w:rsidP="00024336">
      <w:pPr>
        <w:pStyle w:val="MDPI71References"/>
        <w:adjustRightInd w:val="0"/>
        <w:snapToGrid w:val="0"/>
        <w:ind w:left="425" w:hanging="425"/>
      </w:pPr>
      <w:r w:rsidRPr="00024336">
        <w:t>Lionetti</w:t>
      </w:r>
      <w:bookmarkStart w:id="27" w:name="refTemp26"/>
      <w:bookmarkEnd w:id="27"/>
      <w:r w:rsidRPr="00024336">
        <w:t>, E.; Antonucci, N.; Marinelli, M.; Bartolomei, B.; Franceschini, E.; Gatti, S.; NaspiCatassi, G.; Verma, A.K.; Monachesi, C.; Catassi, C. Nutritional status, dietary intake, and adherence to the mediterranean diet of children with celiac disease on a gluten-free diet: A case-control prospective study</w:t>
      </w:r>
      <w:r w:rsidRPr="00024336">
        <w:rPr>
          <w:i/>
          <w:iCs/>
        </w:rPr>
        <w:t>. Nutrients</w:t>
      </w:r>
      <w:r w:rsidRPr="00024336">
        <w:rPr>
          <w:b/>
          <w:bCs/>
        </w:rPr>
        <w:t>2020</w:t>
      </w:r>
      <w:r w:rsidRPr="00024336">
        <w:rPr>
          <w:bCs/>
        </w:rPr>
        <w:t xml:space="preserve">, </w:t>
      </w:r>
      <w:r w:rsidRPr="00024336">
        <w:rPr>
          <w:bCs/>
          <w:i/>
        </w:rPr>
        <w:t>12</w:t>
      </w:r>
      <w:r w:rsidRPr="00024336">
        <w:rPr>
          <w:bCs/>
        </w:rPr>
        <w:t>, 143</w:t>
      </w:r>
      <w:r w:rsidRPr="00024336">
        <w:t>, doi:10.3390/nu12010143.</w:t>
      </w:r>
    </w:p>
    <w:p w:rsidR="00024336" w:rsidRPr="00024336" w:rsidRDefault="00024336" w:rsidP="00024336">
      <w:pPr>
        <w:pStyle w:val="MDPI71References"/>
        <w:adjustRightInd w:val="0"/>
        <w:snapToGrid w:val="0"/>
        <w:ind w:left="425" w:hanging="425"/>
      </w:pPr>
      <w:r w:rsidRPr="00024336">
        <w:t>Babio</w:t>
      </w:r>
      <w:bookmarkStart w:id="28" w:name="refTemp27"/>
      <w:bookmarkEnd w:id="28"/>
      <w:r w:rsidRPr="00024336">
        <w:t xml:space="preserve">, N.; Alcázar, M.; Castillejo, G.; Recasens, M.; Martínez-Cerezo, F.; Gutiérrez-Pensado, V.; Masip, G.; Vaqué, C.; Vila-Martí, A.; Torres-Moreno, M.; et al. Patients with celiac disease reported higher consumption of added sugar and total fat than healthy individuals. </w:t>
      </w:r>
      <w:r w:rsidRPr="00024336">
        <w:rPr>
          <w:i/>
          <w:iCs/>
        </w:rPr>
        <w:t xml:space="preserve">J. Paediatr. Gastroenterol. Nutr. </w:t>
      </w:r>
      <w:r w:rsidRPr="00024336">
        <w:rPr>
          <w:b/>
          <w:bCs/>
        </w:rPr>
        <w:t>2017</w:t>
      </w:r>
      <w:r w:rsidRPr="00024336">
        <w:rPr>
          <w:bCs/>
        </w:rPr>
        <w:t xml:space="preserve">, </w:t>
      </w:r>
      <w:r w:rsidRPr="00024336">
        <w:rPr>
          <w:bCs/>
          <w:i/>
        </w:rPr>
        <w:t>64</w:t>
      </w:r>
      <w:r w:rsidRPr="00024336">
        <w:rPr>
          <w:bCs/>
        </w:rPr>
        <w:t>, 63–69</w:t>
      </w:r>
      <w:r w:rsidRPr="00024336">
        <w:t>, doi:10.1097/MPG.0000000000001251.</w:t>
      </w:r>
    </w:p>
    <w:p w:rsidR="00024336" w:rsidRPr="00024336" w:rsidRDefault="00024336" w:rsidP="00024336">
      <w:pPr>
        <w:pStyle w:val="MDPI71References"/>
        <w:adjustRightInd w:val="0"/>
        <w:snapToGrid w:val="0"/>
        <w:ind w:left="425" w:hanging="425"/>
      </w:pPr>
      <w:r w:rsidRPr="00024336">
        <w:t>Valletta</w:t>
      </w:r>
      <w:bookmarkStart w:id="29" w:name="refTemp28"/>
      <w:bookmarkEnd w:id="29"/>
      <w:r w:rsidRPr="00024336">
        <w:t xml:space="preserve">, E.; Fornaro, M.; Cipolli, M.; Conte, S.; Bissolo, F.; Danchielli, C. Celiac disease and obesity: Need for nutritional follow-up after diagnosis. </w:t>
      </w:r>
      <w:r w:rsidRPr="00024336">
        <w:rPr>
          <w:i/>
          <w:iCs/>
        </w:rPr>
        <w:t>Eur. J. Clin. Nutr.</w:t>
      </w:r>
      <w:r w:rsidRPr="00024336">
        <w:rPr>
          <w:b/>
          <w:bCs/>
        </w:rPr>
        <w:t>2010</w:t>
      </w:r>
      <w:r w:rsidRPr="00024336">
        <w:rPr>
          <w:bCs/>
        </w:rPr>
        <w:t xml:space="preserve">, </w:t>
      </w:r>
      <w:r w:rsidRPr="00024336">
        <w:rPr>
          <w:bCs/>
          <w:i/>
        </w:rPr>
        <w:t>64</w:t>
      </w:r>
      <w:r w:rsidRPr="00024336">
        <w:rPr>
          <w:bCs/>
        </w:rPr>
        <w:t>, 1371–1372,</w:t>
      </w:r>
      <w:r w:rsidRPr="00024336">
        <w:t xml:space="preserve"> doi:10.1038/ejcn.2010.161.</w:t>
      </w:r>
    </w:p>
    <w:p w:rsidR="00024336" w:rsidRPr="00024336" w:rsidRDefault="00024336" w:rsidP="00024336">
      <w:pPr>
        <w:pStyle w:val="MDPI71References"/>
        <w:adjustRightInd w:val="0"/>
        <w:snapToGrid w:val="0"/>
        <w:ind w:left="425" w:hanging="425"/>
      </w:pPr>
      <w:r w:rsidRPr="00024336">
        <w:t>Comba</w:t>
      </w:r>
      <w:bookmarkStart w:id="30" w:name="refTemp29"/>
      <w:bookmarkEnd w:id="30"/>
      <w:r w:rsidRPr="00024336">
        <w:t xml:space="preserve">, A.; Caltepe, G.; Yuce, O.; Erena, E.; Kalaycı, A.G. Effects of age of diagnosis and dietary compliance on growth parameters of patients with celiac disease. </w:t>
      </w:r>
      <w:r w:rsidRPr="00024336">
        <w:rPr>
          <w:i/>
        </w:rPr>
        <w:t>Arch. Argent. Pediatr</w:t>
      </w:r>
      <w:r w:rsidRPr="00024336">
        <w:t xml:space="preserve">. </w:t>
      </w:r>
      <w:r w:rsidRPr="00024336">
        <w:rPr>
          <w:b/>
          <w:bCs/>
        </w:rPr>
        <w:t>2018</w:t>
      </w:r>
      <w:r w:rsidRPr="00024336">
        <w:rPr>
          <w:bCs/>
        </w:rPr>
        <w:t xml:space="preserve">, </w:t>
      </w:r>
      <w:r w:rsidRPr="00024336">
        <w:rPr>
          <w:bCs/>
          <w:i/>
        </w:rPr>
        <w:t>116</w:t>
      </w:r>
      <w:r w:rsidRPr="00024336">
        <w:rPr>
          <w:bCs/>
        </w:rPr>
        <w:t>, 248–255</w:t>
      </w:r>
      <w:r w:rsidRPr="00024336">
        <w:t>, doi:10.5546/aap.2018.eng.248.</w:t>
      </w:r>
    </w:p>
    <w:p w:rsidR="00024336" w:rsidRPr="00024336" w:rsidRDefault="00024336" w:rsidP="00024336">
      <w:pPr>
        <w:pStyle w:val="MDPI71References"/>
        <w:adjustRightInd w:val="0"/>
        <w:snapToGrid w:val="0"/>
        <w:ind w:left="425" w:hanging="425"/>
      </w:pPr>
      <w:r w:rsidRPr="00024336">
        <w:t>Cheng</w:t>
      </w:r>
      <w:bookmarkStart w:id="31" w:name="refTemp30"/>
      <w:bookmarkEnd w:id="31"/>
      <w:r w:rsidRPr="00024336">
        <w:t>, J.; Brar, P.S.; Lee, A.R.; Green, P.H.R. Body mass index in celiac disease: Beneficial effect of a gluten-free diet</w:t>
      </w:r>
      <w:r w:rsidRPr="00024336">
        <w:rPr>
          <w:i/>
          <w:iCs/>
        </w:rPr>
        <w:t>. J. Clin. Gastroenterol</w:t>
      </w:r>
      <w:r w:rsidRPr="00024336">
        <w:t xml:space="preserve">. </w:t>
      </w:r>
      <w:r w:rsidRPr="00024336">
        <w:rPr>
          <w:b/>
          <w:bCs/>
        </w:rPr>
        <w:t>2010</w:t>
      </w:r>
      <w:r w:rsidRPr="00024336">
        <w:rPr>
          <w:bCs/>
        </w:rPr>
        <w:t xml:space="preserve">, </w:t>
      </w:r>
      <w:r w:rsidRPr="00024336">
        <w:rPr>
          <w:bCs/>
          <w:i/>
        </w:rPr>
        <w:t>44</w:t>
      </w:r>
      <w:r w:rsidRPr="00024336">
        <w:rPr>
          <w:bCs/>
        </w:rPr>
        <w:t>, 267–271,</w:t>
      </w:r>
      <w:r w:rsidRPr="00024336">
        <w:t xml:space="preserve"> doi:10.1097/MCG.0b013e3181b7ed58.</w:t>
      </w:r>
    </w:p>
    <w:p w:rsidR="00024336" w:rsidRDefault="00024336" w:rsidP="00024336">
      <w:pPr>
        <w:pStyle w:val="MDPI71References"/>
        <w:numPr>
          <w:ilvl w:val="0"/>
          <w:numId w:val="0"/>
        </w:numPr>
        <w:adjustRightInd w:val="0"/>
        <w:snapToGrid w:val="0"/>
        <w:ind w:left="425" w:hanging="425"/>
        <w:rPr>
          <w:b/>
          <w:szCs w:val="18"/>
        </w:rPr>
      </w:pPr>
    </w:p>
    <w:p w:rsidR="00024336" w:rsidRPr="00024336" w:rsidRDefault="00024336" w:rsidP="00024336">
      <w:pPr>
        <w:pStyle w:val="MDPI71References"/>
        <w:numPr>
          <w:ilvl w:val="0"/>
          <w:numId w:val="0"/>
        </w:numPr>
        <w:adjustRightInd w:val="0"/>
        <w:snapToGrid w:val="0"/>
        <w:ind w:left="425" w:hanging="425"/>
        <w:rPr>
          <w:szCs w:val="18"/>
        </w:rPr>
      </w:pPr>
      <w:r w:rsidRPr="00024336">
        <w:rPr>
          <w:b/>
          <w:szCs w:val="18"/>
        </w:rPr>
        <w:t>Publisher’s Note:</w:t>
      </w:r>
      <w:r w:rsidRPr="00024336">
        <w:rPr>
          <w:szCs w:val="18"/>
        </w:rPr>
        <w:t xml:space="preserve"> MDPI stays neutral with regard to jurisdictional claims in published maps and institutional affiliations.</w:t>
      </w:r>
    </w:p>
    <w:p w:rsidR="00024336" w:rsidRDefault="00024336" w:rsidP="00024336">
      <w:pPr>
        <w:pStyle w:val="Paragrafoelenco"/>
        <w:adjustRightInd w:val="0"/>
        <w:snapToGrid w:val="0"/>
        <w:spacing w:before="240" w:line="260" w:lineRule="atLeast"/>
        <w:rPr>
          <w:rFonts w:ascii="Palatino Linotype" w:hAnsi="Palatino Linotype"/>
          <w:snapToGrid w:val="0"/>
          <w:sz w:val="18"/>
          <w:szCs w:val="18"/>
          <w:lang w:bidi="en-US"/>
        </w:rPr>
      </w:pPr>
      <w:r w:rsidRPr="00024336">
        <w:rPr>
          <w:noProof/>
          <w:lang w:val="it-IT" w:eastAsia="it-IT"/>
        </w:rPr>
        <w:drawing>
          <wp:anchor distT="0" distB="0" distL="114300" distR="114300" simplePos="0" relativeHeight="251659264" behindDoc="1" locked="0" layoutInCell="1" allowOverlap="1">
            <wp:simplePos x="0" y="0"/>
            <wp:positionH relativeFrom="margin">
              <wp:posOffset>24130</wp:posOffset>
            </wp:positionH>
            <wp:positionV relativeFrom="paragraph">
              <wp:posOffset>157386</wp:posOffset>
            </wp:positionV>
            <wp:extent cx="1000760" cy="360045"/>
            <wp:effectExtent l="0" t="0" r="8890" b="1905"/>
            <wp:wrapTight wrapText="bothSides">
              <wp:wrapPolygon edited="0">
                <wp:start x="0" y="0"/>
                <wp:lineTo x="0" y="20571"/>
                <wp:lineTo x="21381" y="20571"/>
                <wp:lineTo x="21381" y="0"/>
                <wp:lineTo x="0" y="0"/>
              </wp:wrapPolygon>
            </wp:wrapTight>
            <wp:docPr id="3" name="Picture 3" descr="CC-BY logo original 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C-BY logo original v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530" r="1488"/>
                    <a:stretch>
                      <a:fillRect/>
                    </a:stretch>
                  </pic:blipFill>
                  <pic:spPr bwMode="auto">
                    <a:xfrm>
                      <a:off x="0" y="0"/>
                      <a:ext cx="1000760" cy="360045"/>
                    </a:xfrm>
                    <a:prstGeom prst="rect">
                      <a:avLst/>
                    </a:prstGeom>
                    <a:noFill/>
                  </pic:spPr>
                </pic:pic>
              </a:graphicData>
            </a:graphic>
          </wp:anchor>
        </w:drawing>
      </w:r>
      <w:bookmarkStart w:id="32" w:name="OLE_LINK3"/>
      <w:r w:rsidRPr="00024336">
        <w:rPr>
          <w:rFonts w:ascii="Palatino Linotype" w:hAnsi="Palatino Linotype"/>
          <w:snapToGrid w:val="0"/>
          <w:sz w:val="18"/>
          <w:szCs w:val="18"/>
          <w:lang w:bidi="en-US"/>
        </w:rPr>
        <w:t xml:space="preserve">© 2020 by the authors. Submitted for possible open access publication under the </w:t>
      </w:r>
      <w:r w:rsidRPr="00024336">
        <w:rPr>
          <w:rFonts w:ascii="Palatino Linotype" w:hAnsi="Palatino Linotype"/>
          <w:snapToGrid w:val="0"/>
          <w:sz w:val="18"/>
          <w:szCs w:val="18"/>
          <w:lang w:bidi="en-US"/>
        </w:rPr>
        <w:br/>
        <w:t>terms and conditions of the Creative Commons Attribution (CC BY) license (http://creativecommons.org/licenses/by/4.0/).</w:t>
      </w:r>
      <w:bookmarkEnd w:id="32"/>
    </w:p>
    <w:p w:rsidR="00024336" w:rsidRPr="00024336" w:rsidRDefault="00024336" w:rsidP="00FA78B1">
      <w:pPr>
        <w:pStyle w:val="Paragrafoelenco"/>
        <w:adjustRightInd w:val="0"/>
        <w:snapToGrid w:val="0"/>
        <w:spacing w:before="240" w:line="260" w:lineRule="atLeast"/>
        <w:rPr>
          <w:rFonts w:ascii="Palatino Linotype" w:hAnsi="Palatino Linotype"/>
          <w:snapToGrid w:val="0"/>
          <w:sz w:val="18"/>
          <w:szCs w:val="18"/>
          <w:lang w:bidi="en-US"/>
        </w:rPr>
      </w:pPr>
    </w:p>
    <w:sectPr w:rsidR="00024336" w:rsidRPr="00024336" w:rsidSect="00EC56C7">
      <w:headerReference w:type="even" r:id="rId11"/>
      <w:headerReference w:type="default" r:id="rId12"/>
      <w:footerReference w:type="default" r:id="rId13"/>
      <w:headerReference w:type="first" r:id="rId14"/>
      <w:footerReference w:type="first" r:id="rId15"/>
      <w:pgSz w:w="11906" w:h="16838" w:code="9"/>
      <w:pgMar w:top="1417" w:right="1531" w:bottom="1077" w:left="1531" w:header="1020" w:footer="850" w:gutter="0"/>
      <w:pgNumType w:start="1"/>
      <w:cols w:space="425"/>
      <w:titlePg/>
      <w:docGrid w:type="lines" w:linePitch="326"/>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MDPI" w:date="2020-12-11T09:28:00Z" w:initials="M">
    <w:p w:rsidR="00314A1D" w:rsidRPr="00314A1D" w:rsidRDefault="00314A1D">
      <w:pPr>
        <w:pStyle w:val="Testocommento"/>
        <w:rPr>
          <w:rFonts w:eastAsiaTheme="minorEastAsia"/>
          <w:lang w:eastAsia="zh-CN"/>
        </w:rPr>
      </w:pPr>
      <w:r>
        <w:rPr>
          <w:rStyle w:val="Rimandocommento"/>
        </w:rPr>
        <w:annotationRef/>
      </w:r>
      <w:r>
        <w:t xml:space="preserve">This section is </w:t>
      </w:r>
      <w:r>
        <w:rPr>
          <w:rStyle w:val="jlqj4b"/>
          <w:lang/>
        </w:rPr>
        <w:t>necessary, please confirm this revision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EC9EE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C888E" w16cex:dateUtc="2020-12-10T10:44:00Z"/>
  <w16cex:commentExtensible w16cex:durableId="237C8DE5" w16cex:dateUtc="2020-12-10T11:07:00Z"/>
  <w16cex:commentExtensible w16cex:durableId="237CAB6F" w16cex:dateUtc="2020-12-10T13:13:00Z"/>
  <w16cex:commentExtensible w16cex:durableId="237CAB7F" w16cex:dateUtc="2020-12-10T13: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6A2BE7B" w16cid:durableId="237C4ED6"/>
  <w16cid:commentId w16cid:paraId="684BB11E" w16cid:durableId="237C8867"/>
  <w16cid:commentId w16cid:paraId="4D31A058" w16cid:durableId="237C888E"/>
  <w16cid:commentId w16cid:paraId="607559E2" w16cid:durableId="237C4ED9"/>
  <w16cid:commentId w16cid:paraId="6DDC9332" w16cid:durableId="237C8DE5"/>
  <w16cid:commentId w16cid:paraId="44585762" w16cid:durableId="237C886A"/>
  <w16cid:commentId w16cid:paraId="0DC402A8" w16cid:durableId="237C886B"/>
  <w16cid:commentId w16cid:paraId="7A91E9AE" w16cid:durableId="237CAB6F"/>
  <w16cid:commentId w16cid:paraId="33A6939D" w16cid:durableId="237C886C"/>
  <w16cid:commentId w16cid:paraId="4D138607" w16cid:durableId="237CAB7F"/>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13A3" w:rsidRDefault="001C13A3">
      <w:pPr>
        <w:spacing w:line="240" w:lineRule="auto"/>
      </w:pPr>
      <w:r>
        <w:separator/>
      </w:r>
    </w:p>
  </w:endnote>
  <w:endnote w:type="continuationSeparator" w:id="1">
    <w:p w:rsidR="001C13A3" w:rsidRDefault="001C13A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507" w:rsidRPr="00885BB0" w:rsidRDefault="005F5507" w:rsidP="00C90B3B">
    <w:pPr>
      <w:pStyle w:val="Pidipagina"/>
      <w:spacing w:line="240" w:lineRule="aut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507" w:rsidRPr="008B308E" w:rsidRDefault="005F5507" w:rsidP="00830F91">
    <w:pPr>
      <w:pStyle w:val="MDPIfooterfirstpage"/>
      <w:spacing w:line="240" w:lineRule="auto"/>
      <w:jc w:val="both"/>
      <w:rPr>
        <w:lang w:val="fr-CH"/>
      </w:rPr>
    </w:pPr>
    <w:r w:rsidRPr="00141586">
      <w:rPr>
        <w:i/>
        <w:szCs w:val="16"/>
      </w:rPr>
      <w:t>Nutrients</w:t>
    </w:r>
    <w:r w:rsidRPr="008313A9">
      <w:rPr>
        <w:b/>
        <w:bCs/>
        <w:iCs/>
        <w:szCs w:val="16"/>
      </w:rPr>
      <w:t>20</w:t>
    </w:r>
    <w:r>
      <w:rPr>
        <w:b/>
        <w:bCs/>
        <w:iCs/>
        <w:szCs w:val="16"/>
      </w:rPr>
      <w:t>20</w:t>
    </w:r>
    <w:r w:rsidRPr="008313A9">
      <w:rPr>
        <w:bCs/>
        <w:iCs/>
        <w:szCs w:val="16"/>
      </w:rPr>
      <w:t xml:space="preserve">, </w:t>
    </w:r>
    <w:r w:rsidRPr="008313A9">
      <w:rPr>
        <w:bCs/>
        <w:i/>
        <w:iCs/>
        <w:szCs w:val="16"/>
      </w:rPr>
      <w:t>1</w:t>
    </w:r>
    <w:r>
      <w:rPr>
        <w:bCs/>
        <w:i/>
        <w:iCs/>
        <w:szCs w:val="16"/>
      </w:rPr>
      <w:t>2</w:t>
    </w:r>
    <w:r w:rsidRPr="008313A9">
      <w:rPr>
        <w:bCs/>
        <w:iCs/>
        <w:szCs w:val="16"/>
      </w:rPr>
      <w:t xml:space="preserve">, </w:t>
    </w:r>
    <w:r>
      <w:rPr>
        <w:bCs/>
        <w:iCs/>
        <w:szCs w:val="16"/>
      </w:rPr>
      <w:t>x; doi: FOR PEER REVIEW</w:t>
    </w:r>
    <w:r w:rsidRPr="008B308E">
      <w:rPr>
        <w:lang w:val="fr-CH"/>
      </w:rPr>
      <w:tab/>
      <w:t>www.mdpi.com/journal/</w:t>
    </w:r>
    <w:r>
      <w:t>nutrients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13A3" w:rsidRDefault="001C13A3">
      <w:pPr>
        <w:spacing w:line="240" w:lineRule="auto"/>
      </w:pPr>
      <w:r>
        <w:separator/>
      </w:r>
    </w:p>
  </w:footnote>
  <w:footnote w:type="continuationSeparator" w:id="1">
    <w:p w:rsidR="001C13A3" w:rsidRDefault="001C13A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507" w:rsidRDefault="005F5507" w:rsidP="00C90B3B">
    <w:pPr>
      <w:pStyle w:val="Intestazione"/>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507" w:rsidRPr="00310EBF" w:rsidRDefault="005F5507" w:rsidP="00830F91">
    <w:pPr>
      <w:tabs>
        <w:tab w:val="right" w:pos="8844"/>
      </w:tabs>
      <w:adjustRightInd w:val="0"/>
      <w:snapToGrid w:val="0"/>
      <w:spacing w:after="240" w:line="240" w:lineRule="auto"/>
      <w:rPr>
        <w:rFonts w:ascii="Palatino Linotype" w:hAnsi="Palatino Linotype"/>
        <w:sz w:val="16"/>
      </w:rPr>
    </w:pPr>
    <w:r>
      <w:rPr>
        <w:rFonts w:ascii="Palatino Linotype" w:hAnsi="Palatino Linotype"/>
        <w:i/>
        <w:sz w:val="16"/>
      </w:rPr>
      <w:t xml:space="preserve">Nutrients </w:t>
    </w:r>
    <w:r w:rsidRPr="008313A9">
      <w:rPr>
        <w:rFonts w:ascii="Palatino Linotype" w:hAnsi="Palatino Linotype"/>
        <w:b/>
        <w:sz w:val="16"/>
      </w:rPr>
      <w:t>20</w:t>
    </w:r>
    <w:r>
      <w:rPr>
        <w:rFonts w:ascii="Palatino Linotype" w:hAnsi="Palatino Linotype"/>
        <w:b/>
        <w:sz w:val="16"/>
      </w:rPr>
      <w:t>20</w:t>
    </w:r>
    <w:r w:rsidRPr="008313A9">
      <w:rPr>
        <w:rFonts w:ascii="Palatino Linotype" w:hAnsi="Palatino Linotype"/>
        <w:sz w:val="16"/>
      </w:rPr>
      <w:t xml:space="preserve">, </w:t>
    </w:r>
    <w:r w:rsidRPr="008313A9">
      <w:rPr>
        <w:rFonts w:ascii="Palatino Linotype" w:hAnsi="Palatino Linotype"/>
        <w:i/>
        <w:sz w:val="16"/>
      </w:rPr>
      <w:t>1</w:t>
    </w:r>
    <w:r>
      <w:rPr>
        <w:rFonts w:ascii="Palatino Linotype" w:hAnsi="Palatino Linotype"/>
        <w:i/>
        <w:sz w:val="16"/>
      </w:rPr>
      <w:t>2</w:t>
    </w:r>
    <w:r>
      <w:rPr>
        <w:rFonts w:ascii="Palatino Linotype" w:hAnsi="Palatino Linotype"/>
        <w:sz w:val="16"/>
      </w:rPr>
      <w:t>, x FOR PEER REVIEW</w:t>
    </w:r>
    <w:r>
      <w:rPr>
        <w:rFonts w:ascii="Palatino Linotype" w:hAnsi="Palatino Linotype"/>
        <w:sz w:val="16"/>
      </w:rPr>
      <w:tab/>
    </w:r>
    <w:r w:rsidR="003E2E0B">
      <w:rPr>
        <w:rFonts w:ascii="Palatino Linotype" w:hAnsi="Palatino Linotype"/>
        <w:sz w:val="16"/>
      </w:rPr>
      <w:fldChar w:fldCharType="begin"/>
    </w:r>
    <w:r>
      <w:rPr>
        <w:rFonts w:ascii="Palatino Linotype" w:hAnsi="Palatino Linotype"/>
        <w:sz w:val="16"/>
      </w:rPr>
      <w:instrText xml:space="preserve"> PAGE   \* MERGEFORMAT </w:instrText>
    </w:r>
    <w:r w:rsidR="003E2E0B">
      <w:rPr>
        <w:rFonts w:ascii="Palatino Linotype" w:hAnsi="Palatino Linotype"/>
        <w:sz w:val="16"/>
      </w:rPr>
      <w:fldChar w:fldCharType="separate"/>
    </w:r>
    <w:r w:rsidR="002703DB">
      <w:rPr>
        <w:rFonts w:ascii="Palatino Linotype" w:hAnsi="Palatino Linotype"/>
        <w:noProof/>
        <w:sz w:val="16"/>
      </w:rPr>
      <w:t>11</w:t>
    </w:r>
    <w:r w:rsidR="003E2E0B">
      <w:rPr>
        <w:rFonts w:ascii="Palatino Linotype" w:hAnsi="Palatino Linotype"/>
        <w:sz w:val="16"/>
      </w:rPr>
      <w:fldChar w:fldCharType="end"/>
    </w:r>
    <w:r>
      <w:rPr>
        <w:rFonts w:ascii="Palatino Linotype" w:hAnsi="Palatino Linotype"/>
        <w:sz w:val="16"/>
      </w:rPr>
      <w:t xml:space="preserve"> of </w:t>
    </w:r>
    <w:fldSimple w:instr=" NUMPAGES   \* MERGEFORMAT ">
      <w:r w:rsidR="002703DB">
        <w:rPr>
          <w:rFonts w:ascii="Palatino Linotype" w:hAnsi="Palatino Linotype"/>
          <w:noProof/>
          <w:sz w:val="16"/>
        </w:rPr>
        <w:t>11</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507" w:rsidRDefault="003E2E0B" w:rsidP="00C90B3B">
    <w:pPr>
      <w:pStyle w:val="MDPIheaderjournallogo"/>
    </w:pPr>
    <w:r w:rsidRPr="003E2E0B">
      <w:rPr>
        <w:i w:val="0"/>
        <w:noProof/>
        <w:szCs w:val="16"/>
        <w:lang w:eastAsia="zh-CN"/>
      </w:rPr>
      <w:pict>
        <v:shapetype id="_x0000_t202" coordsize="21600,21600" o:spt="202" path="m,l,21600r21600,l21600,xe">
          <v:stroke joinstyle="miter"/>
          <v:path gradientshapeok="t" o:connecttype="rect"/>
        </v:shapetype>
        <v:shape id="Text Box 2" o:spid="_x0000_s4097" type="#_x0000_t202" style="position:absolute;left:0;text-align:left;margin-left:474.8pt;margin-top:51pt;width:43.05pt;height:55.85pt;z-index:-251658752;visibility:visible;mso-wrap-style:none;mso-wrap-distance-top:3.6pt;mso-wrap-distance-bottom:3.6pt;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" stroked="f">
          <v:textbox inset="0,0,0,0">
            <w:txbxContent>
              <w:p w:rsidR="005F5507" w:rsidRDefault="005F5507" w:rsidP="00C90B3B">
                <w:pPr>
                  <w:pStyle w:val="MDPIheaderjournallogo"/>
                  <w:jc w:val="center"/>
                  <w:textboxTightWrap w:val="allLines"/>
                  <w:rPr>
                    <w:i w:val="0"/>
                    <w:szCs w:val="16"/>
                  </w:rPr>
                </w:pPr>
                <w:r w:rsidRPr="002549C8">
                  <w:rPr>
                    <w:i w:val="0"/>
                    <w:noProof/>
                    <w:szCs w:val="16"/>
                    <w:lang w:val="it-IT" w:eastAsia="it-IT"/>
                  </w:rPr>
                  <w:drawing>
                    <wp:inline distT="0" distB="0" distL="0" distR="0">
                      <wp:extent cx="546100" cy="361950"/>
                      <wp:effectExtent l="0" t="0" r="6350" b="0"/>
                      <wp:docPr id="5" name="Picture 5" descr="C:\Users\home\Desktop\logos\ori\png\logo-m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ome\Desktop\logos\ori\png\logo-mdpi.png"/>
                              <pic:cNvPicPr>
                                <a:picLocks noChangeAspect="1" noChangeArrowheads="1"/>
                              </pic:cNvPicPr>
                            </pic:nvPicPr>
                            <pic:blipFill>
                              <a:blip r:embed="rId1">
                                <a:extLst>
                                  <a:ext uri="{28A0092B-C50C-407E-A947-70E740481C1C}">
                                    <a14:useLocalDpi xmlns:a14="http://schemas.microsoft.com/office/drawing/2010/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6100" cy="361950"/>
                              </a:xfrm>
                              <a:prstGeom prst="rect">
                                <a:avLst/>
                              </a:prstGeom>
                              <a:noFill/>
                              <a:ln>
                                <a:noFill/>
                              </a:ln>
                            </pic:spPr>
                          </pic:pic>
                        </a:graphicData>
                      </a:graphic>
                    </wp:inline>
                  </w:drawing>
                </w:r>
              </w:p>
            </w:txbxContent>
          </v:textbox>
          <w10:wrap anchorx="page" anchory="page"/>
        </v:shape>
      </w:pict>
    </w:r>
    <w:r w:rsidR="005F5507" w:rsidRPr="00A04686">
      <w:rPr>
        <w:noProof/>
        <w:lang w:val="it-IT" w:eastAsia="it-IT"/>
      </w:rPr>
      <w:drawing>
        <wp:inline distT="0" distB="0" distL="0" distR="0">
          <wp:extent cx="1701800" cy="431800"/>
          <wp:effectExtent l="0" t="0" r="0" b="6350"/>
          <wp:docPr id="4" name="Picture 7" descr="C:\Users\home\Desktop\logos\Nutrient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ome\Desktop\logos\Nutrients-logo.png"/>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01800" cy="43180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0A245F"/>
    <w:multiLevelType w:val="hybridMultilevel"/>
    <w:tmpl w:val="1C3A3F0C"/>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805051C"/>
    <w:multiLevelType w:val="hybridMultilevel"/>
    <w:tmpl w:val="857682CE"/>
    <w:lvl w:ilvl="0" w:tplc="CDCEE7DA">
      <w:start w:val="1"/>
      <w:numFmt w:val="decimal"/>
      <w:pStyle w:val="MDPI37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2">
    <w:nsid w:val="369A6535"/>
    <w:multiLevelType w:val="hybridMultilevel"/>
    <w:tmpl w:val="781408B4"/>
    <w:lvl w:ilvl="0" w:tplc="B2367048">
      <w:start w:val="1"/>
      <w:numFmt w:val="bullet"/>
      <w:pStyle w:val="MDPI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DPI">
    <w15:presenceInfo w15:providerId="None" w15:userId="MDP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displayBackgroundShape/>
  <w:bordersDoNotSurroundHeader/>
  <w:bordersDoNotSurroundFooter/>
  <w:attachedTemplate r:id="rId1"/>
  <w:defaultTabStop w:val="420"/>
  <w:hyphenationZone w:val="283"/>
  <w:drawingGridHorizontalSpacing w:val="120"/>
  <w:drawingGridVerticalSpacing w:val="163"/>
  <w:displayHorizontalDrawingGridEvery w:val="0"/>
  <w:displayVerticalDrawingGridEvery w:val="2"/>
  <w:characterSpacingControl w:val="compressPunctuation"/>
  <w:hdrShapeDefaults>
    <o:shapedefaults v:ext="edit" spidmax="5122"/>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C3009"/>
    <w:rsid w:val="00022DB8"/>
    <w:rsid w:val="00024336"/>
    <w:rsid w:val="00024BED"/>
    <w:rsid w:val="00030CA6"/>
    <w:rsid w:val="000330FF"/>
    <w:rsid w:val="00070240"/>
    <w:rsid w:val="00077A11"/>
    <w:rsid w:val="000823D6"/>
    <w:rsid w:val="000B6163"/>
    <w:rsid w:val="000E65DC"/>
    <w:rsid w:val="000F03E2"/>
    <w:rsid w:val="001024F5"/>
    <w:rsid w:val="00116E6A"/>
    <w:rsid w:val="00192EF9"/>
    <w:rsid w:val="00192FE1"/>
    <w:rsid w:val="001C13A3"/>
    <w:rsid w:val="001C4148"/>
    <w:rsid w:val="001E2AEB"/>
    <w:rsid w:val="001E4924"/>
    <w:rsid w:val="001E4BE2"/>
    <w:rsid w:val="00202E01"/>
    <w:rsid w:val="0021329E"/>
    <w:rsid w:val="00220F22"/>
    <w:rsid w:val="0024064B"/>
    <w:rsid w:val="002549C8"/>
    <w:rsid w:val="002703DB"/>
    <w:rsid w:val="0029512B"/>
    <w:rsid w:val="002C2B83"/>
    <w:rsid w:val="002D2FAB"/>
    <w:rsid w:val="00307C5D"/>
    <w:rsid w:val="00314A1D"/>
    <w:rsid w:val="00316D44"/>
    <w:rsid w:val="00326141"/>
    <w:rsid w:val="00326730"/>
    <w:rsid w:val="00355677"/>
    <w:rsid w:val="00363308"/>
    <w:rsid w:val="003638EF"/>
    <w:rsid w:val="003934AC"/>
    <w:rsid w:val="003C3009"/>
    <w:rsid w:val="003C61B2"/>
    <w:rsid w:val="003D309F"/>
    <w:rsid w:val="003E2E0B"/>
    <w:rsid w:val="003E4154"/>
    <w:rsid w:val="00401D30"/>
    <w:rsid w:val="00432132"/>
    <w:rsid w:val="00435811"/>
    <w:rsid w:val="004749D2"/>
    <w:rsid w:val="0048578A"/>
    <w:rsid w:val="004B543E"/>
    <w:rsid w:val="004C025E"/>
    <w:rsid w:val="004C3BAD"/>
    <w:rsid w:val="005276C0"/>
    <w:rsid w:val="0058522B"/>
    <w:rsid w:val="00593DEB"/>
    <w:rsid w:val="005A79DF"/>
    <w:rsid w:val="005B6703"/>
    <w:rsid w:val="005C4075"/>
    <w:rsid w:val="005C74F1"/>
    <w:rsid w:val="005F5507"/>
    <w:rsid w:val="00610718"/>
    <w:rsid w:val="00612EEA"/>
    <w:rsid w:val="00621180"/>
    <w:rsid w:val="00621402"/>
    <w:rsid w:val="00645667"/>
    <w:rsid w:val="00657213"/>
    <w:rsid w:val="00657B19"/>
    <w:rsid w:val="006821E8"/>
    <w:rsid w:val="00692393"/>
    <w:rsid w:val="006958EC"/>
    <w:rsid w:val="006B121A"/>
    <w:rsid w:val="006B7FE8"/>
    <w:rsid w:val="006D5B1F"/>
    <w:rsid w:val="006F0855"/>
    <w:rsid w:val="006F0F1A"/>
    <w:rsid w:val="00721BCF"/>
    <w:rsid w:val="00723083"/>
    <w:rsid w:val="007316DE"/>
    <w:rsid w:val="0076405C"/>
    <w:rsid w:val="00797D64"/>
    <w:rsid w:val="007A3667"/>
    <w:rsid w:val="007C2B55"/>
    <w:rsid w:val="00830F91"/>
    <w:rsid w:val="008313A9"/>
    <w:rsid w:val="00831BDE"/>
    <w:rsid w:val="0084006D"/>
    <w:rsid w:val="008427A3"/>
    <w:rsid w:val="00850CDD"/>
    <w:rsid w:val="00891137"/>
    <w:rsid w:val="008949C9"/>
    <w:rsid w:val="008B5FC5"/>
    <w:rsid w:val="008E0DD3"/>
    <w:rsid w:val="008E3F5C"/>
    <w:rsid w:val="00915BFC"/>
    <w:rsid w:val="0092347C"/>
    <w:rsid w:val="0099746A"/>
    <w:rsid w:val="009B682C"/>
    <w:rsid w:val="009C1290"/>
    <w:rsid w:val="009C50EC"/>
    <w:rsid w:val="009E2DED"/>
    <w:rsid w:val="009F70E6"/>
    <w:rsid w:val="00A61228"/>
    <w:rsid w:val="00AE6C73"/>
    <w:rsid w:val="00AF3A21"/>
    <w:rsid w:val="00B055E4"/>
    <w:rsid w:val="00B3076A"/>
    <w:rsid w:val="00B42244"/>
    <w:rsid w:val="00B751BD"/>
    <w:rsid w:val="00B919EF"/>
    <w:rsid w:val="00BD0170"/>
    <w:rsid w:val="00BD2F41"/>
    <w:rsid w:val="00BD3278"/>
    <w:rsid w:val="00BE05D8"/>
    <w:rsid w:val="00BF0AA2"/>
    <w:rsid w:val="00BF69F1"/>
    <w:rsid w:val="00C01472"/>
    <w:rsid w:val="00C1192A"/>
    <w:rsid w:val="00C31AF5"/>
    <w:rsid w:val="00C64435"/>
    <w:rsid w:val="00C658BF"/>
    <w:rsid w:val="00C77084"/>
    <w:rsid w:val="00C86505"/>
    <w:rsid w:val="00C876E2"/>
    <w:rsid w:val="00C90B3B"/>
    <w:rsid w:val="00CC03C7"/>
    <w:rsid w:val="00CC0501"/>
    <w:rsid w:val="00CE591F"/>
    <w:rsid w:val="00D320C5"/>
    <w:rsid w:val="00D51D62"/>
    <w:rsid w:val="00DA6C33"/>
    <w:rsid w:val="00DD1D1E"/>
    <w:rsid w:val="00DD3F21"/>
    <w:rsid w:val="00DE56FE"/>
    <w:rsid w:val="00E23D9F"/>
    <w:rsid w:val="00E267EC"/>
    <w:rsid w:val="00E27C26"/>
    <w:rsid w:val="00E44F73"/>
    <w:rsid w:val="00E80413"/>
    <w:rsid w:val="00EC56C7"/>
    <w:rsid w:val="00EC71B4"/>
    <w:rsid w:val="00EE65A8"/>
    <w:rsid w:val="00F01E7B"/>
    <w:rsid w:val="00F06A27"/>
    <w:rsid w:val="00F16E82"/>
    <w:rsid w:val="00F300E3"/>
    <w:rsid w:val="00F312DB"/>
    <w:rsid w:val="00F65AD5"/>
    <w:rsid w:val="00F96DF8"/>
    <w:rsid w:val="00FA2128"/>
    <w:rsid w:val="00FA78B1"/>
    <w:rsid w:val="00FB1333"/>
    <w:rsid w:val="00FB676D"/>
    <w:rsid w:val="00FC780D"/>
    <w:rsid w:val="00FF595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49C8"/>
    <w:pPr>
      <w:spacing w:line="340" w:lineRule="atLeast"/>
      <w:jc w:val="both"/>
    </w:pPr>
    <w:rPr>
      <w:rFonts w:ascii="Times New Roman" w:eastAsia="Times New Roman" w:hAnsi="Times New Roman"/>
      <w:color w:val="000000"/>
      <w:sz w:val="24"/>
      <w:lang w:eastAsia="de-D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MDPI11articletype">
    <w:name w:val="MDPI_1.1_article_type"/>
    <w:next w:val="MDPI12title"/>
    <w:qFormat/>
    <w:rsid w:val="00EC56C7"/>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MDPI13authornames"/>
    <w:qFormat/>
    <w:rsid w:val="00EC56C7"/>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MDPI14history"/>
    <w:qFormat/>
    <w:rsid w:val="00EC56C7"/>
    <w:pPr>
      <w:adjustRightInd w:val="0"/>
      <w:snapToGrid w:val="0"/>
      <w:spacing w:after="12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MDPI62Acknowledgments"/>
    <w:next w:val="Normale"/>
    <w:qFormat/>
    <w:rsid w:val="00EC56C7"/>
    <w:pPr>
      <w:ind w:left="113"/>
      <w:jc w:val="left"/>
    </w:pPr>
    <w:rPr>
      <w:snapToGrid/>
    </w:rPr>
  </w:style>
  <w:style w:type="paragraph" w:customStyle="1" w:styleId="MDPI16affiliation">
    <w:name w:val="MDPI_1.6_affiliation"/>
    <w:qFormat/>
    <w:rsid w:val="00EC56C7"/>
    <w:pPr>
      <w:adjustRightInd w:val="0"/>
      <w:snapToGrid w:val="0"/>
      <w:spacing w:line="260" w:lineRule="atLeast"/>
      <w:ind w:left="311" w:hanging="198"/>
    </w:pPr>
    <w:rPr>
      <w:rFonts w:ascii="Palatino Linotype" w:eastAsia="Times New Roman" w:hAnsi="Palatino Linotype"/>
      <w:color w:val="000000"/>
      <w:sz w:val="18"/>
      <w:szCs w:val="18"/>
      <w:lang w:eastAsia="de-DE" w:bidi="en-US"/>
    </w:rPr>
  </w:style>
  <w:style w:type="paragraph" w:customStyle="1" w:styleId="MDPI17abstract">
    <w:name w:val="MDPI_1.7_abstract"/>
    <w:next w:val="Normale"/>
    <w:qFormat/>
    <w:rsid w:val="00EC56C7"/>
    <w:pPr>
      <w:adjustRightInd w:val="0"/>
      <w:snapToGrid w:val="0"/>
      <w:spacing w:before="240" w:line="260" w:lineRule="atLeast"/>
      <w:ind w:left="113"/>
      <w:jc w:val="both"/>
    </w:pPr>
    <w:rPr>
      <w:rFonts w:ascii="Palatino Linotype" w:eastAsia="Times New Roman" w:hAnsi="Palatino Linotype"/>
      <w:color w:val="000000"/>
      <w:szCs w:val="22"/>
      <w:lang w:eastAsia="de-DE" w:bidi="en-US"/>
    </w:rPr>
  </w:style>
  <w:style w:type="paragraph" w:customStyle="1" w:styleId="MDPI18keywords">
    <w:name w:val="MDPI_1.8_keywords"/>
    <w:next w:val="Normale"/>
    <w:qFormat/>
    <w:rsid w:val="00EC56C7"/>
    <w:pPr>
      <w:adjustRightInd w:val="0"/>
      <w:snapToGrid w:val="0"/>
      <w:spacing w:before="240" w:line="260" w:lineRule="atLeast"/>
      <w:ind w:left="113"/>
      <w:jc w:val="both"/>
    </w:pPr>
    <w:rPr>
      <w:rFonts w:ascii="Palatino Linotype" w:eastAsia="Times New Roman" w:hAnsi="Palatino Linotype"/>
      <w:snapToGrid w:val="0"/>
      <w:color w:val="000000"/>
      <w:szCs w:val="22"/>
      <w:lang w:eastAsia="de-DE" w:bidi="en-US"/>
    </w:rPr>
  </w:style>
  <w:style w:type="paragraph" w:customStyle="1" w:styleId="MDPI19line">
    <w:name w:val="MDPI_1.9_line"/>
    <w:qFormat/>
    <w:rsid w:val="00EC56C7"/>
    <w:pPr>
      <w:pBdr>
        <w:bottom w:val="single" w:sz="6" w:space="1" w:color="auto"/>
      </w:pBdr>
      <w:spacing w:line="260" w:lineRule="atLeast"/>
      <w:jc w:val="both"/>
    </w:pPr>
    <w:rPr>
      <w:rFonts w:ascii="Palatino Linotype" w:eastAsia="Times New Roman" w:hAnsi="Palatino Linotype" w:cstheme="minorBidi"/>
      <w:color w:val="000000"/>
      <w:szCs w:val="24"/>
      <w:lang w:eastAsia="de-DE" w:bidi="en-US"/>
    </w:rPr>
  </w:style>
  <w:style w:type="table" w:customStyle="1" w:styleId="Mdeck5tablebodythreelines">
    <w:name w:val="M_deck_5_table_body_three_lines"/>
    <w:basedOn w:val="Tabellanormale"/>
    <w:uiPriority w:val="99"/>
    <w:rsid w:val="002549C8"/>
    <w:pPr>
      <w:adjustRightInd w:val="0"/>
      <w:snapToGrid w:val="0"/>
      <w:spacing w:line="300" w:lineRule="exact"/>
      <w:jc w:val="center"/>
    </w:pPr>
    <w:rPr>
      <w:rFonts w:ascii="Times New Roman" w:hAnsi="Times New Roman"/>
      <w:lang w:val="de-DE"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Grigliatabella">
    <w:name w:val="Table Grid"/>
    <w:basedOn w:val="Tabellanormale"/>
    <w:uiPriority w:val="59"/>
    <w:rsid w:val="002549C8"/>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rsid w:val="002549C8"/>
    <w:pPr>
      <w:tabs>
        <w:tab w:val="center" w:pos="4153"/>
        <w:tab w:val="right" w:pos="8306"/>
      </w:tabs>
      <w:snapToGrid w:val="0"/>
      <w:spacing w:line="240" w:lineRule="atLeast"/>
    </w:pPr>
    <w:rPr>
      <w:sz w:val="18"/>
      <w:szCs w:val="18"/>
    </w:rPr>
  </w:style>
  <w:style w:type="character" w:customStyle="1" w:styleId="PidipaginaCarattere">
    <w:name w:val="Piè di pagina Carattere"/>
    <w:link w:val="Pidipagina"/>
    <w:uiPriority w:val="99"/>
    <w:rsid w:val="002549C8"/>
    <w:rPr>
      <w:rFonts w:ascii="Times New Roman" w:eastAsia="Times New Roman" w:hAnsi="Times New Roman" w:cs="Times New Roman"/>
      <w:color w:val="000000"/>
      <w:kern w:val="0"/>
      <w:sz w:val="18"/>
      <w:szCs w:val="18"/>
      <w:lang w:eastAsia="de-DE"/>
    </w:rPr>
  </w:style>
  <w:style w:type="paragraph" w:styleId="Intestazione">
    <w:name w:val="header"/>
    <w:basedOn w:val="Normale"/>
    <w:link w:val="IntestazioneCarattere"/>
    <w:uiPriority w:val="99"/>
    <w:rsid w:val="002549C8"/>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IntestazioneCarattere">
    <w:name w:val="Intestazione Carattere"/>
    <w:link w:val="Intestazione"/>
    <w:uiPriority w:val="99"/>
    <w:rsid w:val="002549C8"/>
    <w:rPr>
      <w:rFonts w:ascii="Times New Roman" w:eastAsia="Times New Roman" w:hAnsi="Times New Roman" w:cs="Times New Roman"/>
      <w:color w:val="000000"/>
      <w:kern w:val="0"/>
      <w:sz w:val="18"/>
      <w:szCs w:val="18"/>
      <w:lang w:eastAsia="de-DE"/>
    </w:rPr>
  </w:style>
  <w:style w:type="paragraph" w:customStyle="1" w:styleId="MDPIheaderjournallogo">
    <w:name w:val="MDPI_header_journal_logo"/>
    <w:qFormat/>
    <w:rsid w:val="00EC56C7"/>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qFormat/>
    <w:rsid w:val="00EC56C7"/>
    <w:pPr>
      <w:adjustRightInd w:val="0"/>
      <w:snapToGrid w:val="0"/>
      <w:spacing w:line="260" w:lineRule="atLeast"/>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EC56C7"/>
    <w:pPr>
      <w:spacing w:after="240" w:line="260" w:lineRule="atLeast"/>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EC56C7"/>
    <w:pPr>
      <w:spacing w:after="120" w:line="260" w:lineRule="atLeast"/>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EC56C7"/>
    <w:pPr>
      <w:spacing w:before="120" w:line="260" w:lineRule="atLeast"/>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EC56C7"/>
    <w:pPr>
      <w:numPr>
        <w:numId w:val="5"/>
      </w:numPr>
      <w:spacing w:line="260" w:lineRule="atLeast"/>
      <w:jc w:val="both"/>
    </w:pPr>
    <w:rPr>
      <w:rFonts w:ascii="Palatino Linotype" w:eastAsia="Times New Roman" w:hAnsi="Palatino Linotype"/>
      <w:snapToGrid w:val="0"/>
      <w:color w:val="000000"/>
      <w:szCs w:val="22"/>
      <w:lang w:eastAsia="de-DE" w:bidi="en-US"/>
    </w:rPr>
  </w:style>
  <w:style w:type="paragraph" w:customStyle="1" w:styleId="MDPI38bullet">
    <w:name w:val="MDPI_3.8_bullet"/>
    <w:qFormat/>
    <w:rsid w:val="00EC56C7"/>
    <w:pPr>
      <w:numPr>
        <w:numId w:val="6"/>
      </w:numPr>
      <w:adjustRightInd w:val="0"/>
      <w:snapToGrid w:val="0"/>
      <w:spacing w:line="260" w:lineRule="atLeast"/>
      <w:jc w:val="both"/>
    </w:pPr>
    <w:rPr>
      <w:rFonts w:ascii="Palatino Linotype" w:eastAsia="Times New Roman" w:hAnsi="Palatino Linotype"/>
      <w:snapToGrid w:val="0"/>
      <w:color w:val="000000"/>
      <w:szCs w:val="22"/>
      <w:lang w:eastAsia="de-DE" w:bidi="en-US"/>
    </w:rPr>
  </w:style>
  <w:style w:type="paragraph" w:customStyle="1" w:styleId="MDPI39equation">
    <w:name w:val="MDPI_3.9_equation"/>
    <w:qFormat/>
    <w:rsid w:val="00EC56C7"/>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EC56C7"/>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62Acknowledgments">
    <w:name w:val="MDPI_6.2_Acknowledgments"/>
    <w:qFormat/>
    <w:rsid w:val="00EC56C7"/>
    <w:pPr>
      <w:adjustRightInd w:val="0"/>
      <w:snapToGrid w:val="0"/>
      <w:spacing w:before="120" w:line="200" w:lineRule="atLeast"/>
      <w:jc w:val="both"/>
    </w:pPr>
    <w:rPr>
      <w:rFonts w:ascii="Palatino Linotype" w:eastAsia="Times New Roman" w:hAnsi="Palatino Linotype"/>
      <w:snapToGrid w:val="0"/>
      <w:color w:val="000000"/>
      <w:sz w:val="18"/>
      <w:lang w:eastAsia="de-DE" w:bidi="en-US"/>
    </w:rPr>
  </w:style>
  <w:style w:type="paragraph" w:customStyle="1" w:styleId="MDPI41tablecaption">
    <w:name w:val="MDPI_4.1_table_caption"/>
    <w:qFormat/>
    <w:rsid w:val="00EC56C7"/>
    <w:pPr>
      <w:adjustRightInd w:val="0"/>
      <w:snapToGrid w:val="0"/>
      <w:spacing w:before="240" w:after="120" w:line="260" w:lineRule="atLeast"/>
      <w:ind w:left="425" w:right="425"/>
      <w:jc w:val="both"/>
    </w:pPr>
    <w:rPr>
      <w:rFonts w:ascii="Palatino Linotype" w:eastAsia="Times New Roman" w:hAnsi="Palatino Linotype" w:cstheme="minorBidi"/>
      <w:color w:val="000000"/>
      <w:sz w:val="18"/>
      <w:szCs w:val="22"/>
      <w:lang w:eastAsia="de-DE" w:bidi="en-US"/>
    </w:rPr>
  </w:style>
  <w:style w:type="paragraph" w:customStyle="1" w:styleId="MDPI42tablebody">
    <w:name w:val="MDPI_4.2_table_body"/>
    <w:qFormat/>
    <w:rsid w:val="008949C9"/>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EC56C7"/>
    <w:pPr>
      <w:adjustRightInd w:val="0"/>
      <w:snapToGrid w:val="0"/>
      <w:spacing w:after="240" w:line="260" w:lineRule="atLeast"/>
      <w:jc w:val="both"/>
    </w:pPr>
    <w:rPr>
      <w:rFonts w:ascii="Palatino Linotype" w:eastAsia="Times New Roman" w:hAnsi="Palatino Linotype" w:cstheme="minorBidi"/>
      <w:color w:val="000000"/>
      <w:sz w:val="18"/>
      <w:szCs w:val="22"/>
      <w:lang w:eastAsia="de-DE" w:bidi="en-US"/>
    </w:rPr>
  </w:style>
  <w:style w:type="paragraph" w:customStyle="1" w:styleId="MDPI51figurecaption">
    <w:name w:val="MDPI_5.1_figure_caption"/>
    <w:qFormat/>
    <w:rsid w:val="00EC56C7"/>
    <w:pPr>
      <w:adjustRightInd w:val="0"/>
      <w:snapToGrid w:val="0"/>
      <w:spacing w:before="120" w:after="240" w:line="260" w:lineRule="atLeast"/>
      <w:ind w:left="425" w:right="425"/>
      <w:jc w:val="both"/>
    </w:pPr>
    <w:rPr>
      <w:rFonts w:ascii="Palatino Linotype" w:eastAsia="Times New Roman" w:hAnsi="Palatino Linotype"/>
      <w:color w:val="000000"/>
      <w:sz w:val="18"/>
      <w:lang w:eastAsia="de-DE" w:bidi="en-US"/>
    </w:rPr>
  </w:style>
  <w:style w:type="paragraph" w:customStyle="1" w:styleId="MDPI52figure">
    <w:name w:val="MDPI_5.2_figure"/>
    <w:qFormat/>
    <w:rsid w:val="00EC56C7"/>
    <w:pPr>
      <w:adjustRightInd w:val="0"/>
      <w:snapToGrid w:val="0"/>
      <w:spacing w:before="240" w:after="120" w:line="260" w:lineRule="atLeast"/>
      <w:jc w:val="center"/>
    </w:pPr>
    <w:rPr>
      <w:rFonts w:ascii="Palatino Linotype" w:eastAsia="Times New Roman" w:hAnsi="Palatino Linotype"/>
      <w:snapToGrid w:val="0"/>
      <w:color w:val="000000"/>
      <w:lang w:eastAsia="de-DE" w:bidi="en-US"/>
    </w:rPr>
  </w:style>
  <w:style w:type="paragraph" w:customStyle="1" w:styleId="MDPI61Supplementary">
    <w:name w:val="MDPI_6.1_Supplementary"/>
    <w:qFormat/>
    <w:rsid w:val="00EC56C7"/>
    <w:pPr>
      <w:spacing w:before="240" w:line="260" w:lineRule="atLeast"/>
      <w:jc w:val="both"/>
    </w:pPr>
    <w:rPr>
      <w:rFonts w:ascii="Palatino Linotype" w:eastAsia="Times New Roman" w:hAnsi="Palatino Linotype"/>
      <w:snapToGrid w:val="0"/>
      <w:color w:val="000000"/>
      <w:sz w:val="18"/>
      <w:lang w:eastAsia="en-US" w:bidi="en-US"/>
    </w:rPr>
  </w:style>
  <w:style w:type="paragraph" w:customStyle="1" w:styleId="MDPI63AuthorContributions">
    <w:name w:val="MDPI_6.3_AuthorContributions"/>
    <w:qFormat/>
    <w:rsid w:val="00EC56C7"/>
    <w:pPr>
      <w:spacing w:line="260" w:lineRule="atLeast"/>
      <w:jc w:val="both"/>
    </w:pPr>
    <w:rPr>
      <w:rFonts w:ascii="Palatino Linotype" w:hAnsi="Palatino Linotype"/>
      <w:snapToGrid w:val="0"/>
      <w:sz w:val="18"/>
      <w:lang w:eastAsia="en-US" w:bidi="en-US"/>
    </w:rPr>
  </w:style>
  <w:style w:type="paragraph" w:customStyle="1" w:styleId="MDPI64CoI">
    <w:name w:val="MDPI_6.4_CoI"/>
    <w:qFormat/>
    <w:rsid w:val="00EC56C7"/>
    <w:pPr>
      <w:adjustRightInd w:val="0"/>
      <w:snapToGrid w:val="0"/>
      <w:spacing w:before="120" w:after="120" w:line="260" w:lineRule="atLeast"/>
      <w:jc w:val="both"/>
    </w:pPr>
    <w:rPr>
      <w:rFonts w:ascii="Palatino Linotype" w:eastAsia="Times New Roman" w:hAnsi="Palatino Linotype"/>
      <w:snapToGrid w:val="0"/>
      <w:color w:val="000000"/>
      <w:sz w:val="18"/>
      <w:lang w:eastAsia="de-DE" w:bidi="en-US"/>
    </w:rPr>
  </w:style>
  <w:style w:type="paragraph" w:customStyle="1" w:styleId="MDPIfooterfirstpage">
    <w:name w:val="MDPI_footer_firstpage"/>
    <w:qFormat/>
    <w:rsid w:val="00EC56C7"/>
    <w:pPr>
      <w:tabs>
        <w:tab w:val="right" w:pos="8845"/>
      </w:tabs>
      <w:spacing w:line="160" w:lineRule="exact"/>
    </w:pPr>
    <w:rPr>
      <w:rFonts w:ascii="Palatino Linotype" w:eastAsia="Times New Roman" w:hAnsi="Palatino Linotype"/>
      <w:color w:val="000000"/>
      <w:sz w:val="16"/>
      <w:lang w:eastAsia="de-DE"/>
    </w:rPr>
  </w:style>
  <w:style w:type="paragraph" w:customStyle="1" w:styleId="MDPI31text">
    <w:name w:val="MDPI_3.1_text"/>
    <w:qFormat/>
    <w:rsid w:val="00EC56C7"/>
    <w:pPr>
      <w:adjustRightInd w:val="0"/>
      <w:snapToGrid w:val="0"/>
      <w:spacing w:line="260" w:lineRule="atLeast"/>
      <w:ind w:firstLine="425"/>
      <w:jc w:val="both"/>
    </w:pPr>
    <w:rPr>
      <w:rFonts w:ascii="Palatino Linotype" w:eastAsia="Times New Roman" w:hAnsi="Palatino Linotype"/>
      <w:snapToGrid w:val="0"/>
      <w:color w:val="000000"/>
      <w:szCs w:val="22"/>
      <w:lang w:eastAsia="de-DE" w:bidi="en-US"/>
    </w:rPr>
  </w:style>
  <w:style w:type="paragraph" w:customStyle="1" w:styleId="MDPI23heading3">
    <w:name w:val="MDPI_2.3_heading3"/>
    <w:qFormat/>
    <w:rsid w:val="00EC56C7"/>
    <w:pPr>
      <w:adjustRightInd w:val="0"/>
      <w:snapToGrid w:val="0"/>
      <w:spacing w:before="240" w:after="120" w:line="260" w:lineRule="atLeast"/>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EC56C7"/>
    <w:pPr>
      <w:adjustRightInd w:val="0"/>
      <w:snapToGrid w:val="0"/>
      <w:spacing w:before="240" w:after="120" w:line="260" w:lineRule="atLeast"/>
      <w:jc w:val="both"/>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EC56C7"/>
    <w:pPr>
      <w:adjustRightInd w:val="0"/>
      <w:snapToGrid w:val="0"/>
      <w:spacing w:before="240" w:after="120" w:line="260" w:lineRule="atLeast"/>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EC56C7"/>
    <w:pPr>
      <w:numPr>
        <w:numId w:val="7"/>
      </w:numPr>
      <w:spacing w:line="260" w:lineRule="atLeast"/>
      <w:jc w:val="both"/>
    </w:pPr>
    <w:rPr>
      <w:rFonts w:ascii="Palatino Linotype" w:eastAsia="Times New Roman" w:hAnsi="Palatino Linotype"/>
      <w:snapToGrid w:val="0"/>
      <w:color w:val="000000"/>
      <w:sz w:val="18"/>
      <w:lang w:eastAsia="de-DE" w:bidi="en-US"/>
    </w:rPr>
  </w:style>
  <w:style w:type="paragraph" w:styleId="Testofumetto">
    <w:name w:val="Balloon Text"/>
    <w:basedOn w:val="Normale"/>
    <w:link w:val="TestofumettoCarattere"/>
    <w:uiPriority w:val="99"/>
    <w:semiHidden/>
    <w:unhideWhenUsed/>
    <w:rsid w:val="002549C8"/>
    <w:pPr>
      <w:spacing w:line="240" w:lineRule="auto"/>
    </w:pPr>
    <w:rPr>
      <w:sz w:val="18"/>
      <w:szCs w:val="18"/>
    </w:rPr>
  </w:style>
  <w:style w:type="character" w:customStyle="1" w:styleId="TestofumettoCarattere">
    <w:name w:val="Testo fumetto Carattere"/>
    <w:link w:val="Testofumetto"/>
    <w:uiPriority w:val="99"/>
    <w:semiHidden/>
    <w:rsid w:val="002549C8"/>
    <w:rPr>
      <w:rFonts w:ascii="Times New Roman" w:eastAsia="Times New Roman" w:hAnsi="Times New Roman" w:cs="Times New Roman"/>
      <w:color w:val="000000"/>
      <w:kern w:val="0"/>
      <w:sz w:val="18"/>
      <w:szCs w:val="18"/>
      <w:lang w:eastAsia="de-DE"/>
    </w:rPr>
  </w:style>
  <w:style w:type="character" w:styleId="Numeroriga">
    <w:name w:val="line number"/>
    <w:basedOn w:val="Carpredefinitoparagrafo"/>
    <w:uiPriority w:val="99"/>
    <w:semiHidden/>
    <w:unhideWhenUsed/>
    <w:rsid w:val="002549C8"/>
  </w:style>
  <w:style w:type="table" w:customStyle="1" w:styleId="MDPI41threelinetable">
    <w:name w:val="MDPI_4.1_three_line_table"/>
    <w:basedOn w:val="Tabellanormale"/>
    <w:uiPriority w:val="99"/>
    <w:rsid w:val="00EC56C7"/>
    <w:pPr>
      <w:adjustRightInd w:val="0"/>
      <w:snapToGrid w:val="0"/>
      <w:jc w:val="center"/>
    </w:pPr>
    <w:rPr>
      <w:rFonts w:ascii="Palatino Linotype" w:eastAsiaTheme="minorEastAsia" w:hAnsi="Palatino Linotype"/>
      <w:color w:val="000000"/>
    </w:rPr>
    <w:tblPr>
      <w:jc w:val="center"/>
      <w:tblInd w:w="0" w:type="dxa"/>
      <w:tblBorders>
        <w:top w:val="single" w:sz="8" w:space="0" w:color="auto"/>
        <w:bottom w:val="single" w:sz="8" w:space="0" w:color="auto"/>
      </w:tblBorders>
      <w:tblCellMar>
        <w:top w:w="0" w:type="dxa"/>
        <w:left w:w="108" w:type="dxa"/>
        <w:bottom w:w="0" w:type="dxa"/>
        <w:right w:w="108" w:type="dxa"/>
      </w:tblCellMar>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Collegamentoipertestuale">
    <w:name w:val="Hyperlink"/>
    <w:uiPriority w:val="99"/>
    <w:unhideWhenUsed/>
    <w:rsid w:val="00AF3A21"/>
    <w:rPr>
      <w:color w:val="0563C1"/>
      <w:u w:val="single"/>
    </w:rPr>
  </w:style>
  <w:style w:type="character" w:customStyle="1" w:styleId="UnresolvedMention1">
    <w:name w:val="Unresolved Mention1"/>
    <w:uiPriority w:val="99"/>
    <w:semiHidden/>
    <w:unhideWhenUsed/>
    <w:rsid w:val="00891137"/>
    <w:rPr>
      <w:color w:val="605E5C"/>
      <w:shd w:val="clear" w:color="auto" w:fill="E1DFDD"/>
    </w:rPr>
  </w:style>
  <w:style w:type="table" w:customStyle="1" w:styleId="PlainTable4">
    <w:name w:val="Plain Table 4"/>
    <w:basedOn w:val="Tabellanormale"/>
    <w:uiPriority w:val="44"/>
    <w:rsid w:val="008313A9"/>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74PublishersNote">
    <w:name w:val="MDPI_7.4_Publisher'sNote"/>
    <w:qFormat/>
    <w:rsid w:val="00610718"/>
    <w:pPr>
      <w:adjustRightInd w:val="0"/>
      <w:snapToGrid w:val="0"/>
      <w:spacing w:before="240" w:after="240" w:line="200" w:lineRule="atLeast"/>
    </w:pPr>
    <w:rPr>
      <w:rFonts w:ascii="Palatino Linotype" w:hAnsi="Palatino Linotype"/>
      <w:sz w:val="18"/>
      <w:szCs w:val="22"/>
    </w:rPr>
  </w:style>
  <w:style w:type="paragraph" w:customStyle="1" w:styleId="MDPI15academiceditor">
    <w:name w:val="MDPI_1.5_academic_editor"/>
    <w:qFormat/>
    <w:rsid w:val="00EC56C7"/>
    <w:pPr>
      <w:adjustRightInd w:val="0"/>
      <w:snapToGrid w:val="0"/>
      <w:spacing w:line="260" w:lineRule="atLeast"/>
      <w:ind w:left="113"/>
    </w:pPr>
    <w:rPr>
      <w:rFonts w:ascii="Palatino Linotype" w:eastAsia="Times New Roman" w:hAnsi="Palatino Linotype"/>
      <w:color w:val="000000"/>
      <w:sz w:val="18"/>
      <w:szCs w:val="22"/>
      <w:lang w:eastAsia="de-DE" w:bidi="en-US"/>
    </w:rPr>
  </w:style>
  <w:style w:type="paragraph" w:customStyle="1" w:styleId="MDPI19classification">
    <w:name w:val="MDPI_1.9_classification"/>
    <w:qFormat/>
    <w:rsid w:val="00EC56C7"/>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34textspacebefore">
    <w:name w:val="MDPI_3.4_text_space_before"/>
    <w:qFormat/>
    <w:rsid w:val="00EC56C7"/>
    <w:pPr>
      <w:spacing w:before="240" w:line="260" w:lineRule="atLeast"/>
      <w:jc w:val="both"/>
    </w:pPr>
    <w:rPr>
      <w:rFonts w:ascii="Palatino Linotype" w:eastAsia="Times New Roman" w:hAnsi="Palatino Linotype"/>
      <w:snapToGrid w:val="0"/>
      <w:color w:val="000000"/>
      <w:szCs w:val="22"/>
      <w:lang w:eastAsia="de-DE" w:bidi="en-US"/>
    </w:rPr>
  </w:style>
  <w:style w:type="paragraph" w:customStyle="1" w:styleId="MDPI411onetablecaption">
    <w:name w:val="MDPI_4.1.1_one_table_caption"/>
    <w:qFormat/>
    <w:rsid w:val="00EC56C7"/>
    <w:pPr>
      <w:adjustRightInd w:val="0"/>
      <w:snapToGrid w:val="0"/>
      <w:spacing w:before="240" w:after="120" w:line="260" w:lineRule="atLeast"/>
      <w:jc w:val="center"/>
    </w:pPr>
    <w:rPr>
      <w:rFonts w:ascii="Palatino Linotype" w:eastAsiaTheme="minorEastAsia" w:hAnsi="Palatino Linotype" w:cstheme="minorBidi"/>
      <w:noProof/>
      <w:color w:val="000000"/>
      <w:sz w:val="18"/>
      <w:szCs w:val="22"/>
      <w:lang w:bidi="en-US"/>
    </w:rPr>
  </w:style>
  <w:style w:type="paragraph" w:customStyle="1" w:styleId="MDPI511onefigurecaption">
    <w:name w:val="MDPI_5.1.1_one_figure_caption"/>
    <w:qFormat/>
    <w:rsid w:val="00EC56C7"/>
    <w:pPr>
      <w:adjustRightInd w:val="0"/>
      <w:snapToGrid w:val="0"/>
      <w:spacing w:before="240" w:after="120" w:line="260" w:lineRule="atLeast"/>
      <w:jc w:val="center"/>
    </w:pPr>
    <w:rPr>
      <w:rFonts w:ascii="Palatino Linotype" w:eastAsiaTheme="minorEastAsia" w:hAnsi="Palatino Linotype"/>
      <w:noProof/>
      <w:color w:val="000000"/>
      <w:sz w:val="18"/>
      <w:lang w:bidi="en-US"/>
    </w:rPr>
  </w:style>
  <w:style w:type="paragraph" w:customStyle="1" w:styleId="MDPI72Copyright">
    <w:name w:val="MDPI_7.2_Copyright"/>
    <w:qFormat/>
    <w:rsid w:val="00EC56C7"/>
    <w:pPr>
      <w:adjustRightInd w:val="0"/>
      <w:snapToGrid w:val="0"/>
      <w:spacing w:before="400" w:line="260" w:lineRule="atLeast"/>
      <w:jc w:val="both"/>
    </w:pPr>
    <w:rPr>
      <w:rFonts w:ascii="Palatino Linotype" w:eastAsia="Times New Roman" w:hAnsi="Palatino Linotype"/>
      <w:noProof/>
      <w:snapToGrid w:val="0"/>
      <w:color w:val="000000"/>
      <w:spacing w:val="-2"/>
      <w:sz w:val="18"/>
      <w:lang w:val="en-GB" w:eastAsia="en-GB"/>
    </w:rPr>
  </w:style>
  <w:style w:type="paragraph" w:customStyle="1" w:styleId="MDPI73CopyrightImage">
    <w:name w:val="MDPI_7.3_CopyrightImage"/>
    <w:rsid w:val="00EC56C7"/>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81theorem">
    <w:name w:val="MDPI_8.1_theorem"/>
    <w:qFormat/>
    <w:rsid w:val="00EC56C7"/>
    <w:pPr>
      <w:spacing w:line="260" w:lineRule="atLeast"/>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EC56C7"/>
    <w:pPr>
      <w:spacing w:line="260" w:lineRule="atLeast"/>
      <w:jc w:val="both"/>
    </w:pPr>
    <w:rPr>
      <w:rFonts w:ascii="Palatino Linotype" w:eastAsia="Times New Roman" w:hAnsi="Palatino Linotype"/>
      <w:snapToGrid w:val="0"/>
      <w:color w:val="000000"/>
      <w:szCs w:val="22"/>
      <w:lang w:eastAsia="de-DE" w:bidi="en-US"/>
    </w:rPr>
  </w:style>
  <w:style w:type="paragraph" w:customStyle="1" w:styleId="MDPIequationFram">
    <w:name w:val="MDPI_equationFram"/>
    <w:qFormat/>
    <w:rsid w:val="00EC56C7"/>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EC56C7"/>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header">
    <w:name w:val="MDPI_header"/>
    <w:qFormat/>
    <w:rsid w:val="00EC56C7"/>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EC56C7"/>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EC56C7"/>
    <w:pPr>
      <w:adjustRightInd w:val="0"/>
      <w:snapToGrid w:val="0"/>
      <w:spacing w:line="260" w:lineRule="atLeast"/>
      <w:jc w:val="right"/>
    </w:pPr>
    <w:rPr>
      <w:rFonts w:ascii="Palatino Linotype" w:eastAsia="Times New Roman" w:hAnsi="Palatino Linotype"/>
      <w:color w:val="000000"/>
      <w:sz w:val="24"/>
      <w:szCs w:val="22"/>
      <w:lang w:eastAsia="de-CH"/>
    </w:rPr>
  </w:style>
  <w:style w:type="paragraph" w:customStyle="1" w:styleId="MDPItext">
    <w:name w:val="MDPI_text"/>
    <w:qFormat/>
    <w:rsid w:val="00EC56C7"/>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EC56C7"/>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styleId="Rimandocommento">
    <w:name w:val="annotation reference"/>
    <w:basedOn w:val="Carpredefinitoparagrafo"/>
    <w:uiPriority w:val="99"/>
    <w:semiHidden/>
    <w:unhideWhenUsed/>
    <w:rsid w:val="00030CA6"/>
    <w:rPr>
      <w:sz w:val="16"/>
      <w:szCs w:val="16"/>
    </w:rPr>
  </w:style>
  <w:style w:type="paragraph" w:styleId="Testocommento">
    <w:name w:val="annotation text"/>
    <w:basedOn w:val="Normale"/>
    <w:link w:val="TestocommentoCarattere"/>
    <w:uiPriority w:val="99"/>
    <w:semiHidden/>
    <w:unhideWhenUsed/>
    <w:rsid w:val="00030CA6"/>
    <w:pPr>
      <w:spacing w:line="240" w:lineRule="auto"/>
    </w:pPr>
    <w:rPr>
      <w:sz w:val="20"/>
    </w:rPr>
  </w:style>
  <w:style w:type="character" w:customStyle="1" w:styleId="TestocommentoCarattere">
    <w:name w:val="Testo commento Carattere"/>
    <w:basedOn w:val="Carpredefinitoparagrafo"/>
    <w:link w:val="Testocommento"/>
    <w:uiPriority w:val="99"/>
    <w:semiHidden/>
    <w:rsid w:val="00030CA6"/>
    <w:rPr>
      <w:rFonts w:ascii="Times New Roman" w:eastAsia="Times New Roman" w:hAnsi="Times New Roman"/>
      <w:color w:val="000000"/>
      <w:lang w:eastAsia="de-DE"/>
    </w:rPr>
  </w:style>
  <w:style w:type="paragraph" w:styleId="Soggettocommento">
    <w:name w:val="annotation subject"/>
    <w:basedOn w:val="Testocommento"/>
    <w:next w:val="Testocommento"/>
    <w:link w:val="SoggettocommentoCarattere"/>
    <w:uiPriority w:val="99"/>
    <w:semiHidden/>
    <w:unhideWhenUsed/>
    <w:rsid w:val="00030CA6"/>
    <w:rPr>
      <w:b/>
      <w:bCs/>
    </w:rPr>
  </w:style>
  <w:style w:type="character" w:customStyle="1" w:styleId="SoggettocommentoCarattere">
    <w:name w:val="Soggetto commento Carattere"/>
    <w:basedOn w:val="TestocommentoCarattere"/>
    <w:link w:val="Soggettocommento"/>
    <w:uiPriority w:val="99"/>
    <w:semiHidden/>
    <w:rsid w:val="00030CA6"/>
    <w:rPr>
      <w:rFonts w:ascii="Times New Roman" w:eastAsia="Times New Roman" w:hAnsi="Times New Roman"/>
      <w:b/>
      <w:bCs/>
      <w:color w:val="000000"/>
      <w:lang w:eastAsia="de-DE"/>
    </w:rPr>
  </w:style>
  <w:style w:type="paragraph" w:styleId="Paragrafoelenco">
    <w:name w:val="List Paragraph"/>
    <w:basedOn w:val="Normale"/>
    <w:uiPriority w:val="34"/>
    <w:qFormat/>
    <w:rsid w:val="00FA78B1"/>
    <w:pPr>
      <w:ind w:left="720"/>
      <w:contextualSpacing/>
    </w:pPr>
  </w:style>
  <w:style w:type="paragraph" w:styleId="Revisione">
    <w:name w:val="Revision"/>
    <w:hidden/>
    <w:uiPriority w:val="99"/>
    <w:semiHidden/>
    <w:rsid w:val="00E27C26"/>
    <w:rPr>
      <w:rFonts w:ascii="Times New Roman" w:eastAsia="Times New Roman" w:hAnsi="Times New Roman"/>
      <w:color w:val="000000"/>
      <w:sz w:val="24"/>
      <w:lang w:eastAsia="de-DE"/>
    </w:rPr>
  </w:style>
  <w:style w:type="character" w:customStyle="1" w:styleId="UnresolvedMention">
    <w:name w:val="Unresolved Mention"/>
    <w:basedOn w:val="Carpredefinitoparagrafo"/>
    <w:uiPriority w:val="99"/>
    <w:semiHidden/>
    <w:unhideWhenUsed/>
    <w:rsid w:val="007A3667"/>
    <w:rPr>
      <w:color w:val="605E5C"/>
      <w:shd w:val="clear" w:color="auto" w:fill="E1DFDD"/>
    </w:rPr>
  </w:style>
  <w:style w:type="character" w:customStyle="1" w:styleId="jlqj4b">
    <w:name w:val="jlqj4b"/>
    <w:basedOn w:val="Carpredefinitoparagrafo"/>
    <w:rsid w:val="00314A1D"/>
  </w:style>
</w:styles>
</file>

<file path=word/webSettings.xml><?xml version="1.0" encoding="utf-8"?>
<w:webSettings xmlns:r="http://schemas.openxmlformats.org/officeDocument/2006/relationships" xmlns:w="http://schemas.openxmlformats.org/wordprocessingml/2006/main">
  <w:divs>
    <w:div w:id="142671982">
      <w:bodyDiv w:val="1"/>
      <w:marLeft w:val="0"/>
      <w:marRight w:val="0"/>
      <w:marTop w:val="0"/>
      <w:marBottom w:val="0"/>
      <w:divBdr>
        <w:top w:val="none" w:sz="0" w:space="0" w:color="auto"/>
        <w:left w:val="none" w:sz="0" w:space="0" w:color="auto"/>
        <w:bottom w:val="none" w:sz="0" w:space="0" w:color="auto"/>
        <w:right w:val="none" w:sz="0" w:space="0" w:color="auto"/>
      </w:divBdr>
    </w:div>
    <w:div w:id="869607375">
      <w:bodyDiv w:val="1"/>
      <w:marLeft w:val="0"/>
      <w:marRight w:val="0"/>
      <w:marTop w:val="0"/>
      <w:marBottom w:val="0"/>
      <w:divBdr>
        <w:top w:val="none" w:sz="0" w:space="0" w:color="auto"/>
        <w:left w:val="none" w:sz="0" w:space="0" w:color="auto"/>
        <w:bottom w:val="none" w:sz="0" w:space="0" w:color="auto"/>
        <w:right w:val="none" w:sz="0" w:space="0" w:color="auto"/>
      </w:divBdr>
    </w:div>
    <w:div w:id="1253855901">
      <w:bodyDiv w:val="1"/>
      <w:marLeft w:val="0"/>
      <w:marRight w:val="0"/>
      <w:marTop w:val="0"/>
      <w:marBottom w:val="0"/>
      <w:divBdr>
        <w:top w:val="none" w:sz="0" w:space="0" w:color="auto"/>
        <w:left w:val="none" w:sz="0" w:space="0" w:color="auto"/>
        <w:bottom w:val="none" w:sz="0" w:space="0" w:color="auto"/>
        <w:right w:val="none" w:sz="0" w:space="0" w:color="auto"/>
      </w:divBdr>
    </w:div>
    <w:div w:id="1716274526">
      <w:bodyDiv w:val="1"/>
      <w:marLeft w:val="0"/>
      <w:marRight w:val="0"/>
      <w:marTop w:val="0"/>
      <w:marBottom w:val="0"/>
      <w:divBdr>
        <w:top w:val="none" w:sz="0" w:space="0" w:color="auto"/>
        <w:left w:val="none" w:sz="0" w:space="0" w:color="auto"/>
        <w:bottom w:val="none" w:sz="0" w:space="0" w:color="auto"/>
        <w:right w:val="none" w:sz="0" w:space="0" w:color="auto"/>
      </w:divBdr>
    </w:div>
    <w:div w:id="2095517235">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21" Type="http://schemas.microsoft.com/office/2018/08/relationships/commentsExtensible" Target="commentsExtensible.xml"/><Relationship Id="rId7" Type="http://schemas.openxmlformats.org/officeDocument/2006/relationships/hyperlink" Target="mailto:marghym@gmail.com"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header" Target="header3.xml"/><Relationship Id="rId22" Type="http://schemas.microsoft.com/office/2011/relationships/commentsExtended" Target="commentsExtended.xm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PI\Desktop\Word%20templates\nutrients-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nutrients-template.dot</Template>
  <TotalTime>0</TotalTime>
  <Pages>11</Pages>
  <Words>5436</Words>
  <Characters>30989</Characters>
  <Application>Microsoft Office Word</Application>
  <DocSecurity>0</DocSecurity>
  <Lines>258</Lines>
  <Paragraphs>72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36353</CharactersWithSpaces>
  <SharedDoc>false</SharedDoc>
  <HLinks>
    <vt:vector size="6" baseType="variant">
      <vt:variant>
        <vt:i4>6094915</vt:i4>
      </vt:variant>
      <vt:variant>
        <vt:i4>0</vt:i4>
      </vt:variant>
      <vt:variant>
        <vt:i4>0</vt:i4>
      </vt:variant>
      <vt:variant>
        <vt:i4>5</vt:i4>
      </vt:variant>
      <vt:variant>
        <vt:lpwstr>http://img.mdpi.org/data/contributor-role-instruction.pdf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MDPI</dc:creator>
  <cp:lastModifiedBy>utente</cp:lastModifiedBy>
  <cp:revision>2</cp:revision>
  <cp:lastPrinted>2020-12-11T01:27:00Z</cp:lastPrinted>
  <dcterms:created xsi:type="dcterms:W3CDTF">2020-12-11T11:30:00Z</dcterms:created>
  <dcterms:modified xsi:type="dcterms:W3CDTF">2020-12-11T11:30:00Z</dcterms:modified>
</cp:coreProperties>
</file>